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rFonts w:cs="新宋体" w:asciiTheme="minorEastAsia" w:hAnsiTheme="minorEastAsia"/>
          <w:b/>
          <w:sz w:val="100"/>
          <w:szCs w:val="100"/>
        </w:rPr>
      </w:pPr>
    </w:p>
    <w:p>
      <w:pPr>
        <w:pStyle w:val="12"/>
        <w:jc w:val="center"/>
        <w:rPr>
          <w:rFonts w:ascii="华文仿宋" w:hAnsi="华文仿宋" w:eastAsia="华文仿宋" w:cs="新宋体"/>
          <w:sz w:val="21"/>
          <w:szCs w:val="21"/>
        </w:rPr>
      </w:pPr>
    </w:p>
    <w:p>
      <w:pPr>
        <w:pStyle w:val="12"/>
        <w:jc w:val="center"/>
        <w:rPr>
          <w:rFonts w:ascii="仿宋" w:hAnsi="仿宋" w:eastAsia="仿宋" w:cs="新宋体"/>
          <w:sz w:val="32"/>
          <w:szCs w:val="32"/>
        </w:rPr>
      </w:pPr>
    </w:p>
    <w:p>
      <w:pPr>
        <w:pStyle w:val="12"/>
        <w:jc w:val="center"/>
        <w:rPr>
          <w:rFonts w:ascii="仿宋_GB2312" w:hAnsi="仿宋" w:eastAsia="仿宋_GB2312" w:cs="新宋体"/>
          <w:sz w:val="32"/>
          <w:szCs w:val="32"/>
        </w:rPr>
      </w:pPr>
      <w:r>
        <w:rPr>
          <w:rFonts w:hint="eastAsia" w:ascii="仿宋_GB2312" w:hAnsi="仿宋" w:eastAsia="仿宋_GB2312" w:cs="新宋体"/>
          <w:sz w:val="32"/>
          <w:szCs w:val="32"/>
        </w:rPr>
        <w:t>易医保发</w:t>
      </w:r>
      <w:r>
        <w:rPr>
          <w:rFonts w:hint="eastAsia" w:ascii="微软雅黑" w:hAnsi="微软雅黑" w:eastAsia="微软雅黑" w:cs="微软雅黑"/>
          <w:sz w:val="32"/>
          <w:szCs w:val="32"/>
        </w:rPr>
        <w:t>〔</w:t>
      </w:r>
      <w:r>
        <w:rPr>
          <w:rFonts w:hint="eastAsia" w:ascii="仿宋_GB2312" w:hAnsi="仿宋" w:eastAsia="仿宋_GB2312" w:cs="新宋体"/>
          <w:sz w:val="32"/>
          <w:szCs w:val="32"/>
        </w:rPr>
        <w:t>202</w:t>
      </w:r>
      <w:r>
        <w:rPr>
          <w:rFonts w:hint="eastAsia" w:ascii="仿宋_GB2312" w:hAnsi="仿宋" w:eastAsia="仿宋_GB2312" w:cs="新宋体"/>
          <w:sz w:val="32"/>
          <w:szCs w:val="32"/>
          <w:lang w:val="en-US" w:eastAsia="zh-CN"/>
        </w:rPr>
        <w:t>2</w:t>
      </w:r>
      <w:r>
        <w:rPr>
          <w:rFonts w:hint="eastAsia" w:ascii="微软雅黑" w:hAnsi="微软雅黑" w:eastAsia="微软雅黑" w:cs="微软雅黑"/>
          <w:sz w:val="32"/>
          <w:szCs w:val="32"/>
          <w:lang w:val="en-US" w:eastAsia="zh-CN"/>
        </w:rPr>
        <w:t>〕</w:t>
      </w:r>
      <w:r>
        <w:rPr>
          <w:rFonts w:hint="eastAsia" w:ascii="仿宋_GB2312" w:hAnsi="仿宋" w:eastAsia="仿宋_GB2312" w:cs="新宋体"/>
          <w:sz w:val="32"/>
          <w:szCs w:val="32"/>
          <w:lang w:val="en-US" w:eastAsia="zh-CN"/>
        </w:rPr>
        <w:t>6</w:t>
      </w:r>
      <w:r>
        <w:rPr>
          <w:rFonts w:hint="eastAsia" w:ascii="仿宋_GB2312" w:hAnsi="仿宋" w:eastAsia="仿宋_GB2312" w:cs="新宋体"/>
          <w:sz w:val="32"/>
          <w:szCs w:val="32"/>
        </w:rPr>
        <w:t>号</w:t>
      </w:r>
    </w:p>
    <w:p>
      <w:pPr>
        <w:pStyle w:val="12"/>
        <w:jc w:val="center"/>
        <w:rPr>
          <w:rFonts w:ascii="华文仿宋" w:hAnsi="华文仿宋" w:eastAsia="华文仿宋" w:cs="新宋体"/>
          <w:sz w:val="30"/>
          <w:szCs w:val="30"/>
        </w:rPr>
      </w:pPr>
    </w:p>
    <w:p>
      <w:pPr>
        <w:pStyle w:val="12"/>
        <w:jc w:val="both"/>
        <w:rPr>
          <w:rFonts w:ascii="华文仿宋" w:hAnsi="华文仿宋" w:eastAsia="华文仿宋" w:cs="新宋体"/>
          <w:sz w:val="10"/>
          <w:szCs w:val="10"/>
        </w:rPr>
      </w:pPr>
    </w:p>
    <w:p>
      <w:pPr>
        <w:pStyle w:val="13"/>
        <w:jc w:val="center"/>
        <w:rPr>
          <w:rFonts w:hint="eastAsia" w:cs="宋体" w:asciiTheme="minorEastAsia" w:hAnsiTheme="minorEastAsia"/>
          <w:b/>
          <w:bCs/>
          <w:color w:val="000000" w:themeColor="text1"/>
          <w:kern w:val="0"/>
          <w:sz w:val="15"/>
          <w:szCs w:val="15"/>
          <w14:textFill>
            <w14:solidFill>
              <w14:schemeClr w14:val="tx1"/>
            </w14:solidFill>
          </w14:textFill>
        </w:rPr>
      </w:pPr>
      <w:r>
        <w:rPr>
          <w:rFonts w:hint="eastAsia" w:cs="宋体" w:asciiTheme="minorEastAsia" w:hAnsiTheme="minorEastAsia"/>
          <w:b/>
          <w:bCs/>
          <w:color w:val="000000" w:themeColor="text1"/>
          <w:kern w:val="0"/>
          <w:sz w:val="44"/>
          <w:szCs w:val="44"/>
          <w14:textFill>
            <w14:solidFill>
              <w14:schemeClr w14:val="tx1"/>
            </w14:solidFill>
          </w14:textFill>
        </w:rPr>
        <w:t>易县医疗保障局</w:t>
      </w:r>
      <w:r>
        <w:rPr>
          <w:rFonts w:hint="eastAsia" w:cs="宋体" w:asciiTheme="minorEastAsia" w:hAnsiTheme="minorEastAsia"/>
          <w:b/>
          <w:bCs/>
          <w:color w:val="000000" w:themeColor="text1"/>
          <w:kern w:val="0"/>
          <w:sz w:val="44"/>
          <w:szCs w:val="44"/>
          <w14:textFill>
            <w14:solidFill>
              <w14:schemeClr w14:val="tx1"/>
            </w14:solidFill>
          </w14:textFill>
        </w:rPr>
        <w:br w:type="textWrapping"/>
      </w:r>
      <w:r>
        <w:rPr>
          <w:rFonts w:hint="eastAsia" w:cs="宋体" w:asciiTheme="minorEastAsia" w:hAnsiTheme="minorEastAsia"/>
          <w:b/>
          <w:bCs/>
          <w:color w:val="000000" w:themeColor="text1"/>
          <w:kern w:val="0"/>
          <w:sz w:val="44"/>
          <w:szCs w:val="44"/>
          <w14:textFill>
            <w14:solidFill>
              <w14:schemeClr w14:val="tx1"/>
            </w14:solidFill>
          </w14:textFill>
        </w:rPr>
        <w:t>2022年度双随机抽查工作计划</w:t>
      </w:r>
    </w:p>
    <w:p>
      <w:pPr>
        <w:pStyle w:val="13"/>
        <w:jc w:val="center"/>
        <w:rPr>
          <w:rFonts w:hint="eastAsia" w:cs="宋体" w:asciiTheme="minorEastAsia" w:hAnsiTheme="minorEastAsia"/>
          <w:b/>
          <w:bCs/>
          <w:color w:val="000000" w:themeColor="text1"/>
          <w:kern w:val="0"/>
          <w:sz w:val="15"/>
          <w:szCs w:val="15"/>
          <w14:textFill>
            <w14:solidFill>
              <w14:schemeClr w14:val="tx1"/>
            </w14:solidFill>
          </w14:textFill>
        </w:rPr>
      </w:pPr>
    </w:p>
    <w:p>
      <w:pPr>
        <w:widowControl/>
        <w:shd w:val="clear" w:color="auto" w:fill="FFFFFF"/>
        <w:spacing w:line="620" w:lineRule="atLeast"/>
        <w:ind w:firstLine="640"/>
        <w:jc w:val="left"/>
        <w:rPr>
          <w:rFonts w:ascii="仿宋" w:hAnsi="仿宋" w:eastAsia="仿宋" w:cs="宋体"/>
          <w:color w:val="000000" w:themeColor="text1"/>
          <w:kern w:val="0"/>
          <w:sz w:val="32"/>
          <w:szCs w:val="32"/>
          <w14:textFill>
            <w14:solidFill>
              <w14:schemeClr w14:val="tx1"/>
            </w14:solidFill>
          </w14:textFill>
        </w:rPr>
      </w:pPr>
      <w:r>
        <w:rPr>
          <w:rFonts w:hint="eastAsia" w:ascii="仿宋" w:hAnsi="仿宋" w:eastAsia="仿宋" w:cs="宋体"/>
          <w:color w:val="000000" w:themeColor="text1"/>
          <w:kern w:val="0"/>
          <w:sz w:val="32"/>
          <w:szCs w:val="32"/>
          <w14:textFill>
            <w14:solidFill>
              <w14:schemeClr w14:val="tx1"/>
            </w14:solidFill>
          </w14:textFill>
        </w:rPr>
        <w:t>根据县双随机办《关于编制2022年度随机抽查工作计划的通知》等文件精神，结合我局实际工作情况，制订本计划。</w:t>
      </w:r>
    </w:p>
    <w:p>
      <w:pPr>
        <w:widowControl/>
        <w:shd w:val="clear" w:color="auto" w:fill="FFFFFF"/>
        <w:spacing w:line="620" w:lineRule="atLeast"/>
        <w:ind w:firstLine="640"/>
        <w:jc w:val="left"/>
        <w:rPr>
          <w:rFonts w:hint="eastAsia" w:ascii="宋体" w:hAnsi="宋体" w:eastAsia="宋体" w:cs="宋体"/>
          <w:b/>
          <w:bCs/>
          <w:color w:val="000000" w:themeColor="text1"/>
          <w:kern w:val="0"/>
          <w:sz w:val="32"/>
          <w:szCs w:val="32"/>
          <w14:textFill>
            <w14:solidFill>
              <w14:schemeClr w14:val="tx1"/>
            </w14:solidFill>
          </w14:textFill>
        </w:rPr>
      </w:pPr>
      <w:r>
        <w:rPr>
          <w:rFonts w:hint="eastAsia" w:ascii="宋体" w:hAnsi="宋体" w:eastAsia="宋体" w:cs="宋体"/>
          <w:b/>
          <w:bCs/>
          <w:color w:val="000000" w:themeColor="text1"/>
          <w:kern w:val="0"/>
          <w:sz w:val="32"/>
          <w:szCs w:val="32"/>
          <w14:textFill>
            <w14:solidFill>
              <w14:schemeClr w14:val="tx1"/>
            </w14:solidFill>
          </w14:textFill>
        </w:rPr>
        <w:t>一、工作目标</w:t>
      </w:r>
    </w:p>
    <w:p>
      <w:pPr>
        <w:widowControl/>
        <w:shd w:val="clear" w:color="auto" w:fill="FFFFFF"/>
        <w:spacing w:line="620" w:lineRule="atLeast"/>
        <w:ind w:firstLine="640"/>
        <w:jc w:val="left"/>
        <w:rPr>
          <w:rFonts w:ascii="仿宋" w:hAnsi="仿宋" w:eastAsia="仿宋" w:cs="宋体"/>
          <w:color w:val="000000" w:themeColor="text1"/>
          <w:kern w:val="0"/>
          <w:sz w:val="32"/>
          <w:szCs w:val="32"/>
          <w14:textFill>
            <w14:solidFill>
              <w14:schemeClr w14:val="tx1"/>
            </w14:solidFill>
          </w14:textFill>
        </w:rPr>
      </w:pPr>
      <w:r>
        <w:rPr>
          <w:rFonts w:hint="eastAsia" w:ascii="仿宋" w:hAnsi="仿宋" w:eastAsia="仿宋" w:cs="宋体"/>
          <w:color w:val="000000" w:themeColor="text1"/>
          <w:kern w:val="0"/>
          <w:sz w:val="32"/>
          <w:szCs w:val="32"/>
          <w14:textFill>
            <w14:solidFill>
              <w14:schemeClr w14:val="tx1"/>
            </w14:solidFill>
          </w14:textFill>
        </w:rPr>
        <w:t>（一）确保年度抽查比例不低于15%。</w:t>
      </w:r>
    </w:p>
    <w:p>
      <w:pPr>
        <w:widowControl/>
        <w:shd w:val="clear" w:color="auto" w:fill="FFFFFF"/>
        <w:spacing w:line="620" w:lineRule="atLeast"/>
        <w:ind w:firstLine="640"/>
        <w:jc w:val="left"/>
        <w:rPr>
          <w:rFonts w:ascii="仿宋" w:hAnsi="仿宋" w:eastAsia="仿宋" w:cs="宋体"/>
          <w:color w:val="000000" w:themeColor="text1"/>
          <w:kern w:val="0"/>
          <w:sz w:val="32"/>
          <w:szCs w:val="32"/>
          <w14:textFill>
            <w14:solidFill>
              <w14:schemeClr w14:val="tx1"/>
            </w14:solidFill>
          </w14:textFill>
        </w:rPr>
      </w:pPr>
      <w:r>
        <w:rPr>
          <w:rFonts w:hint="eastAsia" w:ascii="仿宋" w:hAnsi="仿宋" w:eastAsia="仿宋" w:cs="宋体"/>
          <w:color w:val="000000" w:themeColor="text1"/>
          <w:kern w:val="0"/>
          <w:sz w:val="32"/>
          <w:szCs w:val="32"/>
          <w14:textFill>
            <w14:solidFill>
              <w14:schemeClr w14:val="tx1"/>
            </w14:solidFill>
          </w14:textFill>
        </w:rPr>
        <w:t>（二）实现“双随机、一公开”监管与信用风险分级分类相结合常态化、全覆盖。</w:t>
      </w:r>
    </w:p>
    <w:p>
      <w:pPr>
        <w:widowControl/>
        <w:shd w:val="clear" w:color="auto" w:fill="FFFFFF"/>
        <w:spacing w:line="620" w:lineRule="atLeast"/>
        <w:ind w:firstLine="640"/>
        <w:jc w:val="left"/>
        <w:rPr>
          <w:rFonts w:ascii="仿宋" w:hAnsi="仿宋" w:eastAsia="仿宋" w:cs="宋体"/>
          <w:color w:val="000000"/>
          <w:kern w:val="0"/>
          <w:sz w:val="32"/>
          <w:szCs w:val="32"/>
          <w:lang w:bidi="ar"/>
        </w:rPr>
      </w:pPr>
      <w:r>
        <w:rPr>
          <w:rFonts w:hint="eastAsia" w:ascii="仿宋" w:hAnsi="仿宋" w:eastAsia="仿宋" w:cs="宋体"/>
          <w:color w:val="000000" w:themeColor="text1"/>
          <w:kern w:val="0"/>
          <w:sz w:val="32"/>
          <w:szCs w:val="32"/>
          <w14:textFill>
            <w14:solidFill>
              <w14:schemeClr w14:val="tx1"/>
            </w14:solidFill>
          </w14:textFill>
        </w:rPr>
        <w:t>（三）</w:t>
      </w:r>
      <w:r>
        <w:rPr>
          <w:rFonts w:hint="eastAsia" w:ascii="仿宋" w:hAnsi="仿宋" w:eastAsia="仿宋" w:cs="宋体"/>
          <w:color w:val="000000"/>
          <w:kern w:val="0"/>
          <w:sz w:val="32"/>
          <w:szCs w:val="32"/>
          <w:lang w:bidi="ar"/>
        </w:rPr>
        <w:t>依据《河北省医疗保障基金检查问题指南（第二版）》内容，对定点医疗机构 2022年定点医疗机构对医保基金使用情况进行全面自查，对发现的问题整改情况进行检查。</w:t>
      </w:r>
    </w:p>
    <w:p>
      <w:pPr>
        <w:widowControl/>
        <w:shd w:val="clear" w:color="auto" w:fill="FFFFFF"/>
        <w:spacing w:line="620" w:lineRule="atLeast"/>
        <w:ind w:firstLine="640"/>
        <w:jc w:val="left"/>
        <w:rPr>
          <w:rFonts w:hint="eastAsia" w:ascii="宋体" w:hAnsi="宋体" w:eastAsia="宋体" w:cs="宋体"/>
          <w:b/>
          <w:bCs/>
          <w:color w:val="000000" w:themeColor="text1"/>
          <w:kern w:val="0"/>
          <w:sz w:val="32"/>
          <w:szCs w:val="32"/>
          <w14:textFill>
            <w14:solidFill>
              <w14:schemeClr w14:val="tx1"/>
            </w14:solidFill>
          </w14:textFill>
        </w:rPr>
      </w:pPr>
      <w:r>
        <w:rPr>
          <w:rFonts w:hint="eastAsia" w:ascii="仿宋" w:hAnsi="仿宋" w:eastAsia="仿宋" w:cs="宋体"/>
          <w:color w:val="000000" w:themeColor="text1"/>
          <w:kern w:val="0"/>
          <w:sz w:val="32"/>
          <w:szCs w:val="32"/>
          <w14:textFill>
            <w14:solidFill>
              <w14:schemeClr w14:val="tx1"/>
            </w14:solidFill>
          </w14:textFill>
        </w:rPr>
        <w:t>（四）确保抽查全部通过河北省双随机监管工作平台开展，检查结果100%录入系统公示，抽查档案按要求归档。</w:t>
      </w:r>
    </w:p>
    <w:p>
      <w:pPr>
        <w:widowControl/>
        <w:shd w:val="clear" w:color="auto" w:fill="FFFFFF"/>
        <w:spacing w:line="620" w:lineRule="atLeast"/>
        <w:ind w:firstLine="640"/>
        <w:jc w:val="left"/>
        <w:rPr>
          <w:rFonts w:hint="eastAsia" w:ascii="宋体" w:hAnsi="宋体" w:eastAsia="宋体" w:cs="宋体"/>
          <w:b/>
          <w:bCs/>
          <w:color w:val="000000" w:themeColor="text1"/>
          <w:kern w:val="0"/>
          <w:sz w:val="32"/>
          <w:szCs w:val="32"/>
          <w14:textFill>
            <w14:solidFill>
              <w14:schemeClr w14:val="tx1"/>
            </w14:solidFill>
          </w14:textFill>
        </w:rPr>
      </w:pPr>
      <w:r>
        <w:rPr>
          <w:rFonts w:hint="eastAsia" w:ascii="宋体" w:hAnsi="宋体" w:eastAsia="宋体" w:cs="宋体"/>
          <w:b/>
          <w:bCs/>
          <w:color w:val="000000" w:themeColor="text1"/>
          <w:kern w:val="0"/>
          <w:sz w:val="32"/>
          <w:szCs w:val="32"/>
          <w14:textFill>
            <w14:solidFill>
              <w14:schemeClr w14:val="tx1"/>
            </w14:solidFill>
          </w14:textFill>
        </w:rPr>
        <w:t>二、抽查范围</w:t>
      </w:r>
    </w:p>
    <w:p>
      <w:pPr>
        <w:widowControl/>
        <w:shd w:val="clear" w:color="auto" w:fill="FFFFFF"/>
        <w:spacing w:line="620" w:lineRule="atLeast"/>
        <w:ind w:firstLine="640"/>
        <w:jc w:val="left"/>
        <w:rPr>
          <w:rFonts w:ascii="仿宋" w:hAnsi="仿宋" w:eastAsia="仿宋" w:cs="宋体"/>
          <w:color w:val="000000" w:themeColor="text1"/>
          <w:kern w:val="0"/>
          <w:sz w:val="32"/>
          <w:szCs w:val="32"/>
          <w14:textFill>
            <w14:solidFill>
              <w14:schemeClr w14:val="tx1"/>
            </w14:solidFill>
          </w14:textFill>
        </w:rPr>
      </w:pPr>
      <w:r>
        <w:rPr>
          <w:rFonts w:hint="eastAsia" w:ascii="仿宋" w:hAnsi="仿宋" w:eastAsia="仿宋" w:cs="宋体"/>
          <w:color w:val="000000" w:themeColor="text1"/>
          <w:kern w:val="0"/>
          <w:sz w:val="32"/>
          <w:szCs w:val="32"/>
          <w14:textFill>
            <w14:solidFill>
              <w14:schemeClr w14:val="tx1"/>
            </w14:solidFill>
          </w14:textFill>
        </w:rPr>
        <w:t>2022年易县医疗保障局双随机检查对象名录库。</w:t>
      </w:r>
    </w:p>
    <w:p>
      <w:pPr>
        <w:widowControl/>
        <w:shd w:val="clear" w:color="auto" w:fill="FFFFFF"/>
        <w:spacing w:line="620" w:lineRule="atLeast"/>
        <w:ind w:firstLine="640"/>
        <w:jc w:val="left"/>
        <w:rPr>
          <w:rFonts w:hint="eastAsia" w:ascii="宋体" w:hAnsi="宋体" w:eastAsia="宋体" w:cs="宋体"/>
          <w:b/>
          <w:bCs/>
          <w:color w:val="000000" w:themeColor="text1"/>
          <w:kern w:val="0"/>
          <w:sz w:val="32"/>
          <w:szCs w:val="32"/>
          <w14:textFill>
            <w14:solidFill>
              <w14:schemeClr w14:val="tx1"/>
            </w14:solidFill>
          </w14:textFill>
        </w:rPr>
      </w:pPr>
      <w:r>
        <w:rPr>
          <w:rFonts w:hint="eastAsia" w:ascii="宋体" w:hAnsi="宋体" w:eastAsia="宋体" w:cs="宋体"/>
          <w:b/>
          <w:bCs/>
          <w:color w:val="000000" w:themeColor="text1"/>
          <w:kern w:val="0"/>
          <w:sz w:val="32"/>
          <w:szCs w:val="32"/>
          <w14:textFill>
            <w14:solidFill>
              <w14:schemeClr w14:val="tx1"/>
            </w14:solidFill>
          </w14:textFill>
        </w:rPr>
        <w:t>三、工作要求</w:t>
      </w:r>
    </w:p>
    <w:p>
      <w:pPr>
        <w:widowControl/>
        <w:shd w:val="clear" w:color="auto" w:fill="FFFFFF"/>
        <w:spacing w:line="620" w:lineRule="atLeast"/>
        <w:ind w:firstLine="643"/>
        <w:jc w:val="left"/>
        <w:rPr>
          <w:rFonts w:ascii="仿宋" w:hAnsi="仿宋" w:eastAsia="仿宋" w:cs="宋体"/>
          <w:color w:val="000000" w:themeColor="text1"/>
          <w:kern w:val="0"/>
          <w:sz w:val="32"/>
          <w:szCs w:val="32"/>
          <w14:textFill>
            <w14:solidFill>
              <w14:schemeClr w14:val="tx1"/>
            </w14:solidFill>
          </w14:textFill>
        </w:rPr>
      </w:pPr>
      <w:r>
        <w:rPr>
          <w:rFonts w:hint="eastAsia" w:ascii="楷体" w:hAnsi="楷体" w:eastAsia="楷体" w:cs="楷体"/>
          <w:b/>
          <w:bCs/>
          <w:color w:val="000000" w:themeColor="text1"/>
          <w:kern w:val="0"/>
          <w:sz w:val="32"/>
          <w:szCs w:val="32"/>
          <w14:textFill>
            <w14:solidFill>
              <w14:schemeClr w14:val="tx1"/>
            </w14:solidFill>
          </w14:textFill>
        </w:rPr>
        <w:t>（一）加强组织领导。</w:t>
      </w:r>
      <w:r>
        <w:rPr>
          <w:rFonts w:hint="eastAsia" w:ascii="仿宋" w:hAnsi="仿宋" w:eastAsia="仿宋" w:cs="宋体"/>
          <w:color w:val="000000" w:themeColor="text1"/>
          <w:kern w:val="0"/>
          <w:sz w:val="32"/>
          <w:szCs w:val="32"/>
          <w14:textFill>
            <w14:solidFill>
              <w14:schemeClr w14:val="tx1"/>
            </w14:solidFill>
          </w14:textFill>
        </w:rPr>
        <w:t>明确建立随机抽查工作机制的重要意义和总体目标，加强领导，组织人员认真细化推进随机抽查的任务，并结合年度执法工作计划，统筹协调，调整充实一线监管力量，确保随机抽查工作稳妥推进。</w:t>
      </w:r>
      <w:r>
        <w:rPr>
          <w:rFonts w:hint="eastAsia" w:ascii="宋体" w:hAnsi="宋体" w:eastAsia="宋体" w:cs="宋体"/>
          <w:color w:val="000000" w:themeColor="text1"/>
          <w:kern w:val="0"/>
          <w:sz w:val="32"/>
          <w:szCs w:val="32"/>
          <w14:textFill>
            <w14:solidFill>
              <w14:schemeClr w14:val="tx1"/>
            </w14:solidFill>
          </w14:textFill>
        </w:rPr>
        <w:t> </w:t>
      </w:r>
    </w:p>
    <w:p>
      <w:pPr>
        <w:widowControl/>
        <w:shd w:val="clear" w:color="auto" w:fill="FFFFFF"/>
        <w:spacing w:line="620" w:lineRule="atLeast"/>
        <w:ind w:firstLine="643"/>
        <w:jc w:val="left"/>
        <w:rPr>
          <w:rFonts w:ascii="仿宋" w:hAnsi="仿宋" w:eastAsia="仿宋" w:cs="宋体"/>
          <w:color w:val="000000" w:themeColor="text1"/>
          <w:kern w:val="0"/>
          <w:sz w:val="32"/>
          <w:szCs w:val="32"/>
          <w14:textFill>
            <w14:solidFill>
              <w14:schemeClr w14:val="tx1"/>
            </w14:solidFill>
          </w14:textFill>
        </w:rPr>
      </w:pPr>
      <w:r>
        <w:rPr>
          <w:rFonts w:hint="eastAsia" w:ascii="楷体" w:hAnsi="楷体" w:eastAsia="楷体" w:cs="楷体"/>
          <w:b/>
          <w:bCs/>
          <w:color w:val="000000" w:themeColor="text1"/>
          <w:kern w:val="0"/>
          <w:sz w:val="32"/>
          <w:szCs w:val="32"/>
          <w14:textFill>
            <w14:solidFill>
              <w14:schemeClr w14:val="tx1"/>
            </w14:solidFill>
          </w14:textFill>
        </w:rPr>
        <w:t>（二）强化责任落实。</w:t>
      </w:r>
      <w:r>
        <w:rPr>
          <w:rFonts w:hint="eastAsia" w:ascii="仿宋" w:hAnsi="仿宋" w:eastAsia="仿宋" w:cs="宋体"/>
          <w:color w:val="000000" w:themeColor="text1"/>
          <w:kern w:val="0"/>
          <w:sz w:val="32"/>
          <w:szCs w:val="32"/>
          <w14:textFill>
            <w14:solidFill>
              <w14:schemeClr w14:val="tx1"/>
            </w14:solidFill>
          </w14:textFill>
        </w:rPr>
        <w:t>检查人员要进一步增强服务意识、责任意识，通过“双随机、一公开”抽查工作，实现执法检查的公平、有效、透明，落实好国务院和省、市、县政府的要求。</w:t>
      </w:r>
    </w:p>
    <w:p>
      <w:pPr>
        <w:widowControl/>
        <w:ind w:firstLine="643" w:firstLineChars="200"/>
        <w:jc w:val="left"/>
        <w:rPr>
          <w:rFonts w:ascii="仿宋" w:hAnsi="仿宋" w:eastAsia="仿宋" w:cs="宋体"/>
          <w:sz w:val="32"/>
          <w:szCs w:val="32"/>
        </w:rPr>
      </w:pPr>
      <w:r>
        <w:rPr>
          <w:rFonts w:hint="eastAsia" w:ascii="仿宋" w:hAnsi="仿宋" w:eastAsia="仿宋" w:cs="宋体"/>
          <w:b/>
          <w:bCs/>
          <w:color w:val="000000" w:themeColor="text1"/>
          <w:kern w:val="0"/>
          <w:sz w:val="32"/>
          <w:szCs w:val="32"/>
          <w14:textFill>
            <w14:solidFill>
              <w14:schemeClr w14:val="tx1"/>
            </w14:solidFill>
          </w14:textFill>
        </w:rPr>
        <w:t>（</w:t>
      </w:r>
      <w:r>
        <w:rPr>
          <w:rFonts w:hint="eastAsia" w:ascii="楷体" w:hAnsi="楷体" w:eastAsia="楷体" w:cs="楷体"/>
          <w:b/>
          <w:bCs/>
          <w:color w:val="000000" w:themeColor="text1"/>
          <w:kern w:val="0"/>
          <w:sz w:val="32"/>
          <w:szCs w:val="32"/>
          <w14:textFill>
            <w14:solidFill>
              <w14:schemeClr w14:val="tx1"/>
            </w14:solidFill>
          </w14:textFill>
        </w:rPr>
        <w:t>三）严明工作纪律。</w:t>
      </w:r>
      <w:r>
        <w:rPr>
          <w:rFonts w:hint="eastAsia" w:ascii="仿宋" w:hAnsi="仿宋" w:eastAsia="仿宋" w:cs="宋体"/>
          <w:color w:val="000000"/>
          <w:kern w:val="0"/>
          <w:sz w:val="32"/>
          <w:szCs w:val="32"/>
          <w:lang w:bidi="ar"/>
        </w:rPr>
        <w:t xml:space="preserve">抽查组工作人员严守保密规定和八项规定，对跑风漏气、泄露检查情况、违反相关规定的，将严肃处理。 </w:t>
      </w:r>
    </w:p>
    <w:p>
      <w:pPr>
        <w:widowControl/>
        <w:shd w:val="clear" w:color="auto" w:fill="FFFFFF"/>
        <w:spacing w:line="560" w:lineRule="atLeast"/>
        <w:jc w:val="left"/>
        <w:rPr>
          <w:rFonts w:ascii="仿宋" w:hAnsi="仿宋" w:eastAsia="仿宋" w:cs="宋体"/>
          <w:color w:val="000000" w:themeColor="text1"/>
          <w:kern w:val="0"/>
          <w:sz w:val="30"/>
          <w:szCs w:val="30"/>
          <w14:textFill>
            <w14:solidFill>
              <w14:schemeClr w14:val="tx1"/>
            </w14:solidFill>
          </w14:textFill>
        </w:rPr>
      </w:pPr>
    </w:p>
    <w:p>
      <w:pPr>
        <w:widowControl/>
        <w:ind w:firstLine="640" w:firstLineChars="200"/>
        <w:jc w:val="left"/>
        <w:rPr>
          <w:rFonts w:hint="eastAsia" w:ascii="仿宋" w:hAnsi="仿宋" w:eastAsia="仿宋" w:cs="宋体"/>
          <w:color w:val="000000"/>
          <w:kern w:val="0"/>
          <w:sz w:val="32"/>
          <w:szCs w:val="32"/>
          <w:lang w:bidi="ar"/>
        </w:rPr>
      </w:pPr>
      <w:r>
        <w:rPr>
          <w:rFonts w:hint="eastAsia" w:ascii="仿宋" w:hAnsi="仿宋" w:eastAsia="仿宋" w:cs="宋体"/>
          <w:color w:val="000000"/>
          <w:kern w:val="0"/>
          <w:sz w:val="32"/>
          <w:szCs w:val="32"/>
          <w:lang w:bidi="ar"/>
        </w:rPr>
        <w:t>附件：易县医疗保障局2022年度内部联合随机抽查工作计划</w:t>
      </w:r>
      <w:bookmarkStart w:id="0" w:name="_GoBack"/>
      <w:bookmarkEnd w:id="0"/>
    </w:p>
    <w:p>
      <w:pPr>
        <w:ind w:firstLine="5440" w:firstLineChars="1700"/>
        <w:rPr>
          <w:rFonts w:hint="eastAsia" w:ascii="仿宋" w:hAnsi="仿宋" w:eastAsia="仿宋" w:cs="仿宋"/>
          <w:sz w:val="32"/>
          <w:szCs w:val="32"/>
        </w:rPr>
      </w:pPr>
      <w:r>
        <w:rPr>
          <w:rFonts w:hint="eastAsia" w:ascii="仿宋" w:hAnsi="仿宋" w:eastAsia="仿宋" w:cs="仿宋"/>
          <w:sz w:val="32"/>
          <w:szCs w:val="32"/>
        </w:rPr>
        <w:t xml:space="preserve">  </w:t>
      </w:r>
    </w:p>
    <w:p>
      <w:pPr>
        <w:ind w:firstLine="5760" w:firstLineChars="18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易县医疗保障局</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202</w:t>
      </w:r>
      <w:r>
        <w:rPr>
          <w:rFonts w:hint="eastAsia" w:ascii="仿宋" w:hAnsi="仿宋" w:eastAsia="仿宋" w:cs="仿宋"/>
          <w:sz w:val="32"/>
          <w:szCs w:val="32"/>
          <w:lang w:val="en-US" w:eastAsia="zh-CN"/>
        </w:rPr>
        <w:t>2</w:t>
      </w:r>
      <w:r>
        <w:rPr>
          <w:rFonts w:hint="eastAsia" w:ascii="仿宋" w:hAnsi="仿宋" w:eastAsia="仿宋" w:cs="仿宋"/>
          <w:sz w:val="32"/>
          <w:szCs w:val="32"/>
        </w:rPr>
        <w:t>年</w:t>
      </w:r>
      <w:r>
        <w:rPr>
          <w:rFonts w:hint="eastAsia" w:ascii="仿宋" w:hAnsi="仿宋" w:eastAsia="仿宋" w:cs="仿宋"/>
          <w:sz w:val="32"/>
          <w:szCs w:val="32"/>
          <w:lang w:val="en-US" w:eastAsia="zh-CN"/>
        </w:rPr>
        <w:t>2</w:t>
      </w:r>
      <w:r>
        <w:rPr>
          <w:rFonts w:hint="eastAsia" w:ascii="仿宋" w:hAnsi="仿宋" w:eastAsia="仿宋" w:cs="仿宋"/>
          <w:sz w:val="32"/>
          <w:szCs w:val="32"/>
        </w:rPr>
        <w:t>月</w:t>
      </w:r>
      <w:r>
        <w:rPr>
          <w:rFonts w:hint="eastAsia" w:ascii="仿宋" w:hAnsi="仿宋" w:eastAsia="仿宋" w:cs="仿宋"/>
          <w:sz w:val="32"/>
          <w:szCs w:val="32"/>
          <w:lang w:val="en-US" w:eastAsia="zh-CN"/>
        </w:rPr>
        <w:t>16</w:t>
      </w:r>
      <w:r>
        <w:rPr>
          <w:rFonts w:hint="eastAsia" w:ascii="仿宋" w:hAnsi="仿宋" w:eastAsia="仿宋" w:cs="仿宋"/>
          <w:sz w:val="32"/>
          <w:szCs w:val="32"/>
        </w:rPr>
        <w:t>日</w:t>
      </w:r>
    </w:p>
    <w:p>
      <w:pP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mc:AlternateContent>
          <mc:Choice Requires="wps">
            <w:drawing>
              <wp:anchor distT="0" distB="0" distL="114300" distR="114300" simplePos="0" relativeHeight="251659264" behindDoc="0" locked="0" layoutInCell="1" allowOverlap="1">
                <wp:simplePos x="0" y="0"/>
                <wp:positionH relativeFrom="column">
                  <wp:posOffset>-66675</wp:posOffset>
                </wp:positionH>
                <wp:positionV relativeFrom="paragraph">
                  <wp:posOffset>419100</wp:posOffset>
                </wp:positionV>
                <wp:extent cx="5391150" cy="19050"/>
                <wp:effectExtent l="0" t="4445" r="0" b="5080"/>
                <wp:wrapNone/>
                <wp:docPr id="3" name="AutoShape 8"/>
                <wp:cNvGraphicFramePr/>
                <a:graphic xmlns:a="http://schemas.openxmlformats.org/drawingml/2006/main">
                  <a:graphicData uri="http://schemas.microsoft.com/office/word/2010/wordprocessingShape">
                    <wps:wsp>
                      <wps:cNvCnPr>
                        <a:cxnSpLocks noChangeShapeType="1"/>
                      </wps:cNvCnPr>
                      <wps:spPr bwMode="auto">
                        <a:xfrm flipV="1">
                          <a:off x="0" y="0"/>
                          <a:ext cx="5391150" cy="19050"/>
                        </a:xfrm>
                        <a:prstGeom prst="straightConnector1">
                          <a:avLst/>
                        </a:prstGeom>
                        <a:noFill/>
                        <a:ln w="9525">
                          <a:solidFill>
                            <a:srgbClr val="000000"/>
                          </a:solidFill>
                          <a:round/>
                        </a:ln>
                      </wps:spPr>
                      <wps:bodyPr/>
                    </wps:wsp>
                  </a:graphicData>
                </a:graphic>
              </wp:anchor>
            </w:drawing>
          </mc:Choice>
          <mc:Fallback>
            <w:pict>
              <v:shape id="AutoShape 8" o:spid="_x0000_s1026" o:spt="32" type="#_x0000_t32" style="position:absolute;left:0pt;flip:y;margin-left:-5.25pt;margin-top:33pt;height:1.5pt;width:424.5pt;z-index:251659264;mso-width-relative:page;mso-height-relative:page;" filled="f" stroked="t" coordsize="21600,21600" o:gfxdata="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aUfiZtYAAAAJAQAADwAA&#10;AAAAAAABACAAAAAiAAAAZHJzL2Rvd25yZXYueG1sUEsBAhQAFAAAAAgAh07iQC+PBMXfAQAAwAMA&#10;AA4AAAAAAAAAAQAgAAAAJQEAAGRycy9lMm9Eb2MueG1sUEsFBgAAAAAGAAYAWQEAAHYFAAAAAA==&#10;">
                <v:fill on="f" focussize="0,0"/>
                <v:stroke color="#000000" joinstyle="round"/>
                <v:imagedata o:title=""/>
                <o:lock v:ext="edit" aspectratio="f"/>
              </v:shape>
            </w:pict>
          </mc:Fallback>
        </mc:AlternateContent>
      </w:r>
      <w:r>
        <w:rPr>
          <w:rFonts w:hint="eastAsia" w:ascii="仿宋" w:hAnsi="仿宋" w:eastAsia="仿宋" w:cs="仿宋"/>
          <w:sz w:val="32"/>
          <w:szCs w:val="32"/>
        </w:rPr>
        <w:t>易县医疗保障局办公室            202</w:t>
      </w:r>
      <w:r>
        <w:rPr>
          <w:rFonts w:hint="eastAsia" w:ascii="仿宋" w:hAnsi="仿宋" w:eastAsia="仿宋" w:cs="仿宋"/>
          <w:sz w:val="32"/>
          <w:szCs w:val="32"/>
          <w:lang w:val="en-US" w:eastAsia="zh-CN"/>
        </w:rPr>
        <w:t>2</w:t>
      </w:r>
      <w:r>
        <w:rPr>
          <w:rFonts w:hint="eastAsia" w:ascii="仿宋" w:hAnsi="仿宋" w:eastAsia="仿宋" w:cs="仿宋"/>
          <w:sz w:val="32"/>
          <w:szCs w:val="32"/>
        </w:rPr>
        <w:t>年</w:t>
      </w:r>
      <w:r>
        <w:rPr>
          <w:rFonts w:hint="eastAsia" w:ascii="仿宋" w:hAnsi="仿宋" w:eastAsia="仿宋" w:cs="仿宋"/>
          <w:sz w:val="32"/>
          <w:szCs w:val="32"/>
        </w:rPr>
        <mc:AlternateContent>
          <mc:Choice Requires="wps">
            <w:drawing>
              <wp:anchor distT="0" distB="0" distL="114300" distR="114300" simplePos="0" relativeHeight="251660288" behindDoc="0" locked="0" layoutInCell="1" allowOverlap="1">
                <wp:simplePos x="0" y="0"/>
                <wp:positionH relativeFrom="column">
                  <wp:posOffset>19050</wp:posOffset>
                </wp:positionH>
                <wp:positionV relativeFrom="paragraph">
                  <wp:posOffset>28575</wp:posOffset>
                </wp:positionV>
                <wp:extent cx="5314950" cy="0"/>
                <wp:effectExtent l="0" t="0" r="0" b="0"/>
                <wp:wrapNone/>
                <wp:docPr id="4" name="AutoShape 9"/>
                <wp:cNvGraphicFramePr/>
                <a:graphic xmlns:a="http://schemas.openxmlformats.org/drawingml/2006/main">
                  <a:graphicData uri="http://schemas.microsoft.com/office/word/2010/wordprocessingShape">
                    <wps:wsp>
                      <wps:cNvCnPr>
                        <a:cxnSpLocks noChangeShapeType="1"/>
                      </wps:cNvCnPr>
                      <wps:spPr bwMode="auto">
                        <a:xfrm>
                          <a:off x="0" y="0"/>
                          <a:ext cx="5314950" cy="0"/>
                        </a:xfrm>
                        <a:prstGeom prst="straightConnector1">
                          <a:avLst/>
                        </a:prstGeom>
                        <a:noFill/>
                        <a:ln w="9525">
                          <a:solidFill>
                            <a:srgbClr val="000000"/>
                          </a:solidFill>
                          <a:round/>
                        </a:ln>
                      </wps:spPr>
                      <wps:bodyPr/>
                    </wps:wsp>
                  </a:graphicData>
                </a:graphic>
              </wp:anchor>
            </w:drawing>
          </mc:Choice>
          <mc:Fallback>
            <w:pict>
              <v:shape id="AutoShape 9" o:spid="_x0000_s1026" o:spt="32" type="#_x0000_t32" style="position:absolute;left:0pt;margin-left:1.5pt;margin-top:2.25pt;height:0pt;width:418.5pt;z-index:251660288;mso-width-relative:page;mso-height-relative:page;" filled="f" stroked="t" coordsize="21600,21600" o:gfxdata="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A2i/0y0wAAAAUBAAAPAAAAAAAAAAEAIAAAACIA&#10;AABkcnMvZG93bnJldi54bWxQSwECFAAUAAAACACHTuJA3DiQhNUBAACyAwAADgAAAAAAAAABACAA&#10;AAAiAQAAZHJzL2Uyb0RvYy54bWxQSwUGAAAAAAYABgBZAQAAaQUAAAAA&#10;">
                <v:fill on="f" focussize="0,0"/>
                <v:stroke color="#000000" joinstyle="round"/>
                <v:imagedata o:title=""/>
                <o:lock v:ext="edit" aspectratio="f"/>
              </v:shape>
            </w:pict>
          </mc:Fallback>
        </mc:AlternateContent>
      </w:r>
      <w:r>
        <w:rPr>
          <w:rFonts w:hint="eastAsia" w:ascii="仿宋" w:hAnsi="仿宋" w:eastAsia="仿宋" w:cs="仿宋"/>
          <w:sz w:val="32"/>
          <w:szCs w:val="32"/>
          <w:lang w:val="en-US" w:eastAsia="zh-CN"/>
        </w:rPr>
        <w:t>2</w:t>
      </w:r>
      <w:r>
        <w:rPr>
          <w:rFonts w:hint="eastAsia" w:ascii="仿宋" w:hAnsi="仿宋" w:eastAsia="仿宋" w:cs="仿宋"/>
          <w:sz w:val="32"/>
          <w:szCs w:val="32"/>
        </w:rPr>
        <w:t>月</w:t>
      </w:r>
      <w:r>
        <w:rPr>
          <w:rFonts w:hint="eastAsia" w:ascii="仿宋" w:hAnsi="仿宋" w:eastAsia="仿宋" w:cs="仿宋"/>
          <w:sz w:val="32"/>
          <w:szCs w:val="32"/>
          <w:lang w:val="en-US" w:eastAsia="zh-CN"/>
        </w:rPr>
        <w:t>16</w:t>
      </w:r>
      <w:r>
        <w:rPr>
          <w:rFonts w:hint="eastAsia" w:ascii="仿宋" w:hAnsi="仿宋" w:eastAsia="仿宋" w:cs="仿宋"/>
          <w:sz w:val="32"/>
          <w:szCs w:val="32"/>
        </w:rPr>
        <w:t>日印发</w:t>
      </w:r>
    </w:p>
    <w:p>
      <w:pPr>
        <w:widowControl/>
        <w:jc w:val="left"/>
        <w:rPr>
          <w:rFonts w:hint="eastAsia" w:ascii="仿宋_GB2312" w:hAnsi="宋体" w:eastAsia="仿宋_GB2312" w:cs="宋体"/>
          <w:color w:val="000000" w:themeColor="text1"/>
          <w:kern w:val="0"/>
          <w:sz w:val="32"/>
          <w:szCs w:val="32"/>
          <w:lang w:val="en-US" w:eastAsia="zh-CN"/>
          <w14:textFill>
            <w14:solidFill>
              <w14:schemeClr w14:val="tx1"/>
            </w14:solidFill>
          </w14:textFill>
        </w:rPr>
        <w:sectPr>
          <w:footerReference r:id="rId3" w:type="default"/>
          <w:pgSz w:w="11906" w:h="16838"/>
          <w:pgMar w:top="1701" w:right="1690" w:bottom="1701" w:left="1690" w:header="851" w:footer="992" w:gutter="0"/>
          <w:cols w:space="0" w:num="1"/>
          <w:docGrid w:type="lines" w:linePitch="312" w:charSpace="0"/>
        </w:sectPr>
      </w:pPr>
    </w:p>
    <w:p>
      <w:pPr>
        <w:pStyle w:val="3"/>
        <w:tabs>
          <w:tab w:val="left" w:pos="1415"/>
        </w:tabs>
        <w:ind w:right="13"/>
        <w:jc w:val="left"/>
        <w:rPr>
          <w:sz w:val="36"/>
          <w:szCs w:val="36"/>
        </w:rPr>
      </w:pPr>
      <w:r>
        <w:rPr>
          <w:rFonts w:hint="eastAsia" w:ascii="Times New Roman"/>
          <w:sz w:val="24"/>
          <w:szCs w:val="24"/>
        </w:rPr>
        <w:t xml:space="preserve">附件1   </w:t>
      </w:r>
      <w:r>
        <w:rPr>
          <w:rFonts w:hint="eastAsia" w:ascii="Times New Roman"/>
          <w:sz w:val="36"/>
          <w:szCs w:val="36"/>
        </w:rPr>
        <w:t xml:space="preserve">             </w:t>
      </w:r>
      <w:r>
        <w:rPr>
          <w:rFonts w:hint="eastAsia" w:ascii="Times New Roman"/>
          <w:sz w:val="36"/>
          <w:szCs w:val="36"/>
          <w:u w:val="single"/>
        </w:rPr>
        <w:t xml:space="preserve">易县医疗保障局 </w:t>
      </w:r>
      <w:r>
        <w:rPr>
          <w:spacing w:val="2"/>
          <w:sz w:val="36"/>
          <w:szCs w:val="36"/>
        </w:rPr>
        <w:t>202</w:t>
      </w:r>
      <w:r>
        <w:rPr>
          <w:rFonts w:hint="eastAsia"/>
          <w:spacing w:val="2"/>
          <w:sz w:val="36"/>
          <w:szCs w:val="36"/>
        </w:rPr>
        <w:t>2</w:t>
      </w:r>
      <w:r>
        <w:rPr>
          <w:sz w:val="36"/>
          <w:szCs w:val="36"/>
        </w:rPr>
        <w:t>年度内部联合随机抽查工作计划</w:t>
      </w:r>
    </w:p>
    <w:tbl>
      <w:tblPr>
        <w:tblStyle w:val="6"/>
        <w:tblpPr w:leftFromText="180" w:rightFromText="180" w:vertAnchor="text" w:horzAnchor="page" w:tblpX="1638" w:tblpY="20"/>
        <w:tblOverlap w:val="never"/>
        <w:tblW w:w="1431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214"/>
        <w:gridCol w:w="1641"/>
        <w:gridCol w:w="1265"/>
        <w:gridCol w:w="1680"/>
        <w:gridCol w:w="919"/>
        <w:gridCol w:w="1145"/>
        <w:gridCol w:w="1503"/>
        <w:gridCol w:w="1147"/>
        <w:gridCol w:w="1270"/>
        <w:gridCol w:w="1311"/>
        <w:gridCol w:w="121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23" w:hRule="atLeast"/>
        </w:trPr>
        <w:tc>
          <w:tcPr>
            <w:tcW w:w="1214" w:type="dxa"/>
          </w:tcPr>
          <w:p>
            <w:pPr>
              <w:pStyle w:val="8"/>
              <w:spacing w:line="294" w:lineRule="exact"/>
              <w:ind w:left="373" w:right="94" w:hanging="242"/>
              <w:rPr>
                <w:rFonts w:ascii="宋体" w:hAnsi="宋体" w:eastAsia="宋体" w:cs="宋体"/>
                <w:b/>
                <w:sz w:val="24"/>
              </w:rPr>
            </w:pPr>
            <w:r>
              <w:rPr>
                <w:rFonts w:hint="eastAsia" w:ascii="宋体" w:hAnsi="宋体" w:eastAsia="宋体" w:cs="宋体"/>
                <w:b/>
                <w:sz w:val="24"/>
              </w:rPr>
              <w:t>抽查计划编号</w:t>
            </w:r>
          </w:p>
        </w:tc>
        <w:tc>
          <w:tcPr>
            <w:tcW w:w="1641" w:type="dxa"/>
          </w:tcPr>
          <w:p>
            <w:pPr>
              <w:pStyle w:val="8"/>
              <w:spacing w:before="122"/>
              <w:ind w:left="103"/>
              <w:rPr>
                <w:rFonts w:ascii="宋体" w:hAnsi="宋体" w:eastAsia="宋体" w:cs="宋体"/>
                <w:b/>
                <w:sz w:val="24"/>
              </w:rPr>
            </w:pPr>
            <w:r>
              <w:rPr>
                <w:rFonts w:hint="eastAsia" w:ascii="宋体" w:hAnsi="宋体" w:eastAsia="宋体" w:cs="宋体"/>
                <w:b/>
                <w:sz w:val="24"/>
              </w:rPr>
              <w:t>抽查计划名称</w:t>
            </w:r>
          </w:p>
        </w:tc>
        <w:tc>
          <w:tcPr>
            <w:tcW w:w="1265" w:type="dxa"/>
          </w:tcPr>
          <w:p>
            <w:pPr>
              <w:pStyle w:val="8"/>
              <w:spacing w:line="294" w:lineRule="exact"/>
              <w:ind w:left="374" w:right="93" w:hanging="242"/>
              <w:rPr>
                <w:rFonts w:ascii="宋体" w:hAnsi="宋体" w:eastAsia="宋体" w:cs="宋体"/>
                <w:b/>
                <w:sz w:val="24"/>
              </w:rPr>
            </w:pPr>
            <w:r>
              <w:rPr>
                <w:rFonts w:hint="eastAsia" w:ascii="宋体" w:hAnsi="宋体" w:eastAsia="宋体" w:cs="宋体"/>
                <w:b/>
                <w:sz w:val="24"/>
              </w:rPr>
              <w:t>抽查任务编号</w:t>
            </w:r>
          </w:p>
        </w:tc>
        <w:tc>
          <w:tcPr>
            <w:tcW w:w="1680" w:type="dxa"/>
          </w:tcPr>
          <w:p>
            <w:pPr>
              <w:pStyle w:val="8"/>
              <w:spacing w:line="294" w:lineRule="exact"/>
              <w:ind w:left="627" w:right="103" w:hanging="485"/>
              <w:rPr>
                <w:rFonts w:ascii="宋体" w:hAnsi="宋体" w:eastAsia="宋体" w:cs="宋体"/>
                <w:b/>
                <w:sz w:val="24"/>
              </w:rPr>
            </w:pPr>
            <w:r>
              <w:rPr>
                <w:rFonts w:hint="eastAsia" w:ascii="宋体" w:hAnsi="宋体" w:eastAsia="宋体" w:cs="宋体"/>
                <w:b/>
                <w:sz w:val="24"/>
              </w:rPr>
              <w:t>抽查任务名称</w:t>
            </w:r>
          </w:p>
        </w:tc>
        <w:tc>
          <w:tcPr>
            <w:tcW w:w="919" w:type="dxa"/>
          </w:tcPr>
          <w:p>
            <w:pPr>
              <w:pStyle w:val="8"/>
              <w:spacing w:before="122"/>
              <w:ind w:left="94" w:right="55"/>
              <w:jc w:val="center"/>
              <w:rPr>
                <w:rFonts w:ascii="宋体" w:hAnsi="宋体" w:eastAsia="宋体" w:cs="宋体"/>
                <w:b/>
                <w:sz w:val="24"/>
              </w:rPr>
            </w:pPr>
            <w:r>
              <w:rPr>
                <w:rFonts w:hint="eastAsia" w:ascii="宋体" w:hAnsi="宋体" w:eastAsia="宋体" w:cs="宋体"/>
                <w:b/>
                <w:sz w:val="24"/>
              </w:rPr>
              <w:t>抽查类型</w:t>
            </w:r>
          </w:p>
        </w:tc>
        <w:tc>
          <w:tcPr>
            <w:tcW w:w="1145" w:type="dxa"/>
          </w:tcPr>
          <w:p>
            <w:pPr>
              <w:pStyle w:val="8"/>
              <w:spacing w:before="122"/>
              <w:ind w:left="77" w:right="43"/>
              <w:jc w:val="center"/>
              <w:rPr>
                <w:rFonts w:ascii="宋体" w:hAnsi="宋体" w:eastAsia="宋体" w:cs="宋体"/>
                <w:b/>
                <w:sz w:val="24"/>
              </w:rPr>
            </w:pPr>
            <w:r>
              <w:rPr>
                <w:rFonts w:hint="eastAsia" w:ascii="宋体" w:hAnsi="宋体" w:eastAsia="宋体" w:cs="宋体"/>
                <w:b/>
                <w:sz w:val="24"/>
              </w:rPr>
              <w:t>抽查比例</w:t>
            </w:r>
          </w:p>
        </w:tc>
        <w:tc>
          <w:tcPr>
            <w:tcW w:w="1503" w:type="dxa"/>
          </w:tcPr>
          <w:p>
            <w:pPr>
              <w:pStyle w:val="8"/>
              <w:spacing w:before="122"/>
              <w:ind w:left="77"/>
              <w:rPr>
                <w:rFonts w:ascii="宋体" w:hAnsi="宋体" w:eastAsia="宋体" w:cs="宋体"/>
                <w:b/>
                <w:sz w:val="24"/>
              </w:rPr>
            </w:pPr>
            <w:r>
              <w:rPr>
                <w:rFonts w:hint="eastAsia" w:ascii="宋体" w:hAnsi="宋体" w:eastAsia="宋体" w:cs="宋体"/>
                <w:b/>
                <w:sz w:val="24"/>
              </w:rPr>
              <w:t>抽查事项</w:t>
            </w:r>
          </w:p>
        </w:tc>
        <w:tc>
          <w:tcPr>
            <w:tcW w:w="1147" w:type="dxa"/>
          </w:tcPr>
          <w:p>
            <w:pPr>
              <w:pStyle w:val="8"/>
              <w:spacing w:before="122"/>
              <w:ind w:left="55"/>
              <w:rPr>
                <w:rFonts w:ascii="宋体" w:hAnsi="宋体" w:eastAsia="宋体" w:cs="宋体"/>
                <w:b/>
                <w:sz w:val="24"/>
              </w:rPr>
            </w:pPr>
            <w:r>
              <w:rPr>
                <w:rFonts w:hint="eastAsia" w:ascii="宋体" w:hAnsi="宋体" w:eastAsia="宋体" w:cs="宋体"/>
                <w:b/>
                <w:sz w:val="24"/>
              </w:rPr>
              <w:t>抽查对象范围</w:t>
            </w:r>
          </w:p>
        </w:tc>
        <w:tc>
          <w:tcPr>
            <w:tcW w:w="1270" w:type="dxa"/>
          </w:tcPr>
          <w:p>
            <w:pPr>
              <w:pStyle w:val="8"/>
              <w:spacing w:before="122"/>
              <w:ind w:left="123" w:right="86"/>
              <w:jc w:val="center"/>
              <w:rPr>
                <w:rFonts w:ascii="宋体" w:hAnsi="宋体" w:eastAsia="宋体" w:cs="宋体"/>
                <w:b/>
                <w:sz w:val="24"/>
              </w:rPr>
            </w:pPr>
            <w:r>
              <w:rPr>
                <w:rFonts w:hint="eastAsia" w:ascii="宋体" w:hAnsi="宋体" w:eastAsia="宋体" w:cs="宋体"/>
                <w:b/>
                <w:sz w:val="24"/>
              </w:rPr>
              <w:t>发起处室</w:t>
            </w:r>
          </w:p>
        </w:tc>
        <w:tc>
          <w:tcPr>
            <w:tcW w:w="1311" w:type="dxa"/>
          </w:tcPr>
          <w:p>
            <w:pPr>
              <w:pStyle w:val="8"/>
              <w:spacing w:before="122"/>
              <w:ind w:left="179"/>
              <w:rPr>
                <w:rFonts w:ascii="宋体" w:hAnsi="宋体" w:eastAsia="宋体" w:cs="宋体"/>
                <w:b/>
                <w:sz w:val="24"/>
              </w:rPr>
            </w:pPr>
            <w:r>
              <w:rPr>
                <w:rFonts w:hint="eastAsia" w:ascii="宋体" w:hAnsi="宋体" w:eastAsia="宋体" w:cs="宋体"/>
                <w:b/>
                <w:sz w:val="24"/>
              </w:rPr>
              <w:t>联合处室</w:t>
            </w:r>
          </w:p>
        </w:tc>
        <w:tc>
          <w:tcPr>
            <w:tcW w:w="1215" w:type="dxa"/>
          </w:tcPr>
          <w:p>
            <w:pPr>
              <w:pStyle w:val="8"/>
              <w:spacing w:before="122"/>
              <w:ind w:left="130"/>
              <w:rPr>
                <w:rFonts w:ascii="宋体" w:hAnsi="宋体" w:eastAsia="宋体" w:cs="宋体"/>
                <w:b/>
                <w:sz w:val="24"/>
              </w:rPr>
            </w:pPr>
            <w:r>
              <w:rPr>
                <w:rFonts w:hint="eastAsia" w:ascii="宋体" w:hAnsi="宋体" w:eastAsia="宋体" w:cs="宋体"/>
                <w:b/>
                <w:sz w:val="24"/>
              </w:rPr>
              <w:t>抽查时间</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598" w:hRule="atLeast"/>
        </w:trPr>
        <w:tc>
          <w:tcPr>
            <w:tcW w:w="1214" w:type="dxa"/>
          </w:tcPr>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p>
          <w:p>
            <w:pPr>
              <w:pStyle w:val="8"/>
              <w:ind w:right="208" w:firstLine="200" w:firstLineChars="100"/>
              <w:rPr>
                <w:rFonts w:ascii="宋体" w:hAnsi="宋体" w:eastAsia="宋体" w:cs="宋体"/>
                <w:sz w:val="20"/>
                <w:szCs w:val="20"/>
              </w:rPr>
            </w:pPr>
            <w:r>
              <w:rPr>
                <w:rFonts w:hint="eastAsia" w:ascii="宋体" w:hAnsi="宋体" w:eastAsia="宋体" w:cs="宋体"/>
                <w:sz w:val="20"/>
                <w:szCs w:val="20"/>
              </w:rPr>
              <w:t>2022001</w:t>
            </w:r>
          </w:p>
        </w:tc>
        <w:tc>
          <w:tcPr>
            <w:tcW w:w="1641"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2022年易县医疗保障局运用企业信用风险分级分类开展内部联合双随机抽查001</w:t>
            </w:r>
          </w:p>
        </w:tc>
        <w:tc>
          <w:tcPr>
            <w:tcW w:w="1265" w:type="dxa"/>
          </w:tcPr>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p>
          <w:p>
            <w:pPr>
              <w:pStyle w:val="8"/>
              <w:ind w:right="325" w:firstLine="200" w:firstLineChars="100"/>
              <w:rPr>
                <w:rFonts w:ascii="宋体" w:hAnsi="宋体" w:eastAsia="宋体" w:cs="宋体"/>
                <w:sz w:val="20"/>
                <w:szCs w:val="20"/>
              </w:rPr>
            </w:pPr>
            <w:r>
              <w:rPr>
                <w:rFonts w:hint="eastAsia" w:ascii="宋体" w:hAnsi="宋体" w:eastAsia="宋体" w:cs="宋体"/>
                <w:sz w:val="20"/>
                <w:szCs w:val="20"/>
              </w:rPr>
              <w:t>001号</w:t>
            </w:r>
          </w:p>
        </w:tc>
        <w:tc>
          <w:tcPr>
            <w:tcW w:w="1680"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2022年易县医疗保障局运用企业信用风险分级分类开展内部联合双随机抽查001</w:t>
            </w:r>
          </w:p>
        </w:tc>
        <w:tc>
          <w:tcPr>
            <w:tcW w:w="919" w:type="dxa"/>
          </w:tcPr>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r>
              <w:rPr>
                <w:rFonts w:hint="eastAsia" w:ascii="宋体" w:hAnsi="宋体" w:eastAsia="宋体" w:cs="宋体"/>
                <w:sz w:val="20"/>
                <w:szCs w:val="20"/>
              </w:rPr>
              <w:t>定向</w:t>
            </w:r>
          </w:p>
          <w:p>
            <w:pPr>
              <w:pStyle w:val="8"/>
              <w:ind w:right="55" w:firstLine="400" w:firstLineChars="200"/>
              <w:rPr>
                <w:rFonts w:ascii="宋体" w:hAnsi="宋体" w:eastAsia="宋体" w:cs="宋体"/>
                <w:sz w:val="20"/>
                <w:szCs w:val="20"/>
              </w:rPr>
            </w:pPr>
          </w:p>
          <w:p>
            <w:pPr>
              <w:pStyle w:val="8"/>
              <w:ind w:right="55" w:firstLine="400" w:firstLineChars="200"/>
              <w:rPr>
                <w:rFonts w:ascii="宋体" w:hAnsi="宋体" w:eastAsia="宋体" w:cs="宋体"/>
                <w:sz w:val="20"/>
                <w:szCs w:val="20"/>
              </w:rPr>
            </w:pPr>
          </w:p>
        </w:tc>
        <w:tc>
          <w:tcPr>
            <w:tcW w:w="1145"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第一批：医药机构中风险15%；第二批：医药机构中风险15%；第三批：医药机构中风险15%；第四批：医药机构中风险15%，医疗机构中风险5%</w:t>
            </w:r>
          </w:p>
        </w:tc>
        <w:tc>
          <w:tcPr>
            <w:tcW w:w="1503"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1.对社会保险待遇领取情况的监督检查；                     2.对协议医药机构基本医疗保险服务活动的监督检查；  3.对单位和个人骗取医疗保险待遇和医疗保险基金支出的监督检查4.对公立医疗机构高值医用耗材集中采购行为合规性的督导检查；           5.对公立医疗机构药品集中采购行为合规性的督导检查。</w:t>
            </w:r>
          </w:p>
        </w:tc>
        <w:tc>
          <w:tcPr>
            <w:tcW w:w="1147"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医保定点医药</w:t>
            </w:r>
          </w:p>
          <w:p>
            <w:pPr>
              <w:widowControl/>
              <w:textAlignment w:val="center"/>
              <w:rPr>
                <w:rFonts w:ascii="宋体" w:hAnsi="宋体" w:eastAsia="宋体" w:cs="宋体"/>
                <w:sz w:val="20"/>
                <w:szCs w:val="20"/>
              </w:rPr>
            </w:pPr>
            <w:r>
              <w:rPr>
                <w:rFonts w:hint="eastAsia" w:ascii="宋体" w:hAnsi="宋体" w:eastAsia="宋体" w:cs="宋体"/>
                <w:sz w:val="20"/>
                <w:szCs w:val="20"/>
              </w:rPr>
              <w:t>机构；医疗机构</w:t>
            </w:r>
          </w:p>
        </w:tc>
        <w:tc>
          <w:tcPr>
            <w:tcW w:w="1270"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基金监管股</w:t>
            </w:r>
          </w:p>
        </w:tc>
        <w:tc>
          <w:tcPr>
            <w:tcW w:w="1311"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医保所、城乡医保中心、价采股</w:t>
            </w:r>
          </w:p>
        </w:tc>
        <w:tc>
          <w:tcPr>
            <w:tcW w:w="1215" w:type="dxa"/>
            <w:vAlign w:val="center"/>
          </w:tcPr>
          <w:p>
            <w:pPr>
              <w:widowControl/>
              <w:textAlignment w:val="center"/>
              <w:rPr>
                <w:rFonts w:ascii="宋体" w:hAnsi="宋体" w:eastAsia="宋体" w:cs="宋体"/>
                <w:sz w:val="20"/>
                <w:szCs w:val="20"/>
              </w:rPr>
            </w:pPr>
            <w:r>
              <w:rPr>
                <w:rFonts w:hint="eastAsia" w:ascii="宋体" w:hAnsi="宋体" w:eastAsia="宋体" w:cs="宋体"/>
                <w:sz w:val="20"/>
                <w:szCs w:val="20"/>
              </w:rPr>
              <w:t>第一批：2022年3月至5月        第二批：2022年6月至7月       第三批：2022年8月至9月第四批：2022年10月至11月</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89" w:hRule="atLeast"/>
        </w:trPr>
        <w:tc>
          <w:tcPr>
            <w:tcW w:w="14310" w:type="dxa"/>
            <w:gridSpan w:val="11"/>
          </w:tcPr>
          <w:p>
            <w:pPr>
              <w:pStyle w:val="8"/>
              <w:spacing w:before="42" w:line="297" w:lineRule="exact"/>
              <w:ind w:left="40"/>
              <w:rPr>
                <w:rFonts w:ascii="宋体" w:hAnsi="宋体" w:eastAsia="宋体" w:cs="宋体"/>
                <w:sz w:val="24"/>
              </w:rPr>
            </w:pPr>
            <w:r>
              <w:rPr>
                <w:rFonts w:hint="eastAsia" w:ascii="宋体" w:hAnsi="宋体" w:eastAsia="宋体" w:cs="宋体"/>
                <w:sz w:val="20"/>
                <w:szCs w:val="20"/>
              </w:rPr>
              <w:t>备注：1.抽查计划名称为：年度+行政区划+部门+随机抽查+序号。抽查任务名称以实施方案为准。2.市以下为定向抽查。抽查时间必须填写到月份。</w:t>
            </w:r>
          </w:p>
        </w:tc>
      </w:tr>
    </w:tbl>
    <w:p/>
    <w:sectPr>
      <w:pgSz w:w="16838" w:h="11906" w:orient="landscape"/>
      <w:pgMar w:top="1690" w:right="1531" w:bottom="1690" w:left="1531" w:header="851" w:footer="992" w:gutter="0"/>
      <w:cols w:space="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 w:name="华文仿宋">
    <w:altName w:val="仿宋"/>
    <w:panose1 w:val="02010600040101010101"/>
    <w:charset w:val="86"/>
    <w:family w:val="auto"/>
    <w:pitch w:val="default"/>
    <w:sig w:usb0="00000000" w:usb1="00000000" w:usb2="00000010" w:usb3="00000000" w:csb0="0004009F"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11430" b="6350"/>
              <wp:wrapNone/>
              <wp:docPr id="1" name="文本框 1"/>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w="6350">
                        <a:noFill/>
                      </a:ln>
                    </wps:spPr>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O9sZGvRAAAAAgEAAA8AAAAAAAAAAQAgAAAAIgAAAGRycy9kb3ducmV2LnhtbFBLAQIUABQAAAAI&#10;AIdO4kAD09VxLQIAAFIEAAAOAAAAAAAAAAEAIAAAACABAABkcnMvZTJvRG9jLnhtbFBLBQYAAAAA&#10;BgAGAFkBAA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0128"/>
    <w:rsid w:val="00027EE5"/>
    <w:rsid w:val="001243E6"/>
    <w:rsid w:val="00134CAF"/>
    <w:rsid w:val="002235CA"/>
    <w:rsid w:val="003D0128"/>
    <w:rsid w:val="004E5F31"/>
    <w:rsid w:val="00514E2B"/>
    <w:rsid w:val="005C26FF"/>
    <w:rsid w:val="005C3D12"/>
    <w:rsid w:val="00660AB4"/>
    <w:rsid w:val="006B5893"/>
    <w:rsid w:val="00726BA6"/>
    <w:rsid w:val="00954247"/>
    <w:rsid w:val="00961B81"/>
    <w:rsid w:val="00965DA3"/>
    <w:rsid w:val="009E3372"/>
    <w:rsid w:val="00C72FA4"/>
    <w:rsid w:val="00CD3005"/>
    <w:rsid w:val="00E45594"/>
    <w:rsid w:val="00E63762"/>
    <w:rsid w:val="00F128B2"/>
    <w:rsid w:val="00F66A9F"/>
    <w:rsid w:val="00FC384C"/>
    <w:rsid w:val="01710365"/>
    <w:rsid w:val="050B359B"/>
    <w:rsid w:val="05243E26"/>
    <w:rsid w:val="10D40911"/>
    <w:rsid w:val="11020326"/>
    <w:rsid w:val="115F467E"/>
    <w:rsid w:val="1355733F"/>
    <w:rsid w:val="13E853D4"/>
    <w:rsid w:val="18F4335B"/>
    <w:rsid w:val="1E1961FE"/>
    <w:rsid w:val="206F5618"/>
    <w:rsid w:val="20EE50D7"/>
    <w:rsid w:val="21260517"/>
    <w:rsid w:val="23B05B15"/>
    <w:rsid w:val="26636755"/>
    <w:rsid w:val="275910C0"/>
    <w:rsid w:val="288F5AD7"/>
    <w:rsid w:val="28AF65CF"/>
    <w:rsid w:val="29386CD6"/>
    <w:rsid w:val="2DD473D5"/>
    <w:rsid w:val="303164B3"/>
    <w:rsid w:val="33003350"/>
    <w:rsid w:val="33A46FC8"/>
    <w:rsid w:val="35721391"/>
    <w:rsid w:val="361A18C4"/>
    <w:rsid w:val="378C2AA9"/>
    <w:rsid w:val="3D340A05"/>
    <w:rsid w:val="3E432AAE"/>
    <w:rsid w:val="3F1E2BD3"/>
    <w:rsid w:val="3FC664B9"/>
    <w:rsid w:val="40891E40"/>
    <w:rsid w:val="493361D1"/>
    <w:rsid w:val="493F20C4"/>
    <w:rsid w:val="4B6C47F2"/>
    <w:rsid w:val="4BD7489D"/>
    <w:rsid w:val="4FBB7FCB"/>
    <w:rsid w:val="51D57A6A"/>
    <w:rsid w:val="52295659"/>
    <w:rsid w:val="5426635A"/>
    <w:rsid w:val="54D86757"/>
    <w:rsid w:val="559F34C5"/>
    <w:rsid w:val="561269A4"/>
    <w:rsid w:val="57696EE6"/>
    <w:rsid w:val="5AA60A9D"/>
    <w:rsid w:val="5C7D6D34"/>
    <w:rsid w:val="5CAF0167"/>
    <w:rsid w:val="5E457D25"/>
    <w:rsid w:val="5E99597B"/>
    <w:rsid w:val="5FED5F7E"/>
    <w:rsid w:val="689C2C31"/>
    <w:rsid w:val="6A8B2F63"/>
    <w:rsid w:val="6C4244A0"/>
    <w:rsid w:val="6F776394"/>
    <w:rsid w:val="71BD7E81"/>
    <w:rsid w:val="740D4D4B"/>
    <w:rsid w:val="768F1F0A"/>
    <w:rsid w:val="76CF2643"/>
    <w:rsid w:val="775F5A55"/>
    <w:rsid w:val="78782D79"/>
    <w:rsid w:val="7C4B3E61"/>
    <w:rsid w:val="7E2C71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1"/>
    <w:pPr>
      <w:spacing w:before="61"/>
      <w:jc w:val="center"/>
      <w:outlineLvl w:val="0"/>
    </w:pPr>
    <w:rPr>
      <w:sz w:val="40"/>
      <w:szCs w:val="40"/>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w:basedOn w:val="1"/>
    <w:qFormat/>
    <w:uiPriority w:val="1"/>
    <w:rPr>
      <w:sz w:val="32"/>
      <w:szCs w:val="32"/>
    </w:rPr>
  </w:style>
  <w:style w:type="paragraph" w:styleId="4">
    <w:name w:val="footer"/>
    <w:basedOn w:val="1"/>
    <w:semiHidden/>
    <w:unhideWhenUsed/>
    <w:qFormat/>
    <w:uiPriority w:val="99"/>
    <w:pPr>
      <w:tabs>
        <w:tab w:val="center" w:pos="4153"/>
        <w:tab w:val="right" w:pos="8306"/>
      </w:tabs>
      <w:snapToGrid w:val="0"/>
      <w:jc w:val="left"/>
    </w:pPr>
    <w:rPr>
      <w:sz w:val="18"/>
    </w:rPr>
  </w:style>
  <w:style w:type="paragraph" w:styleId="5">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8">
    <w:name w:val="Table Paragraph"/>
    <w:basedOn w:val="1"/>
    <w:qFormat/>
    <w:uiPriority w:val="1"/>
    <w:rPr>
      <w:rFonts w:ascii="仿宋" w:hAnsi="仿宋" w:eastAsia="仿宋" w:cs="仿宋"/>
    </w:rPr>
  </w:style>
  <w:style w:type="character" w:customStyle="1" w:styleId="9">
    <w:name w:val="font01"/>
    <w:basedOn w:val="7"/>
    <w:qFormat/>
    <w:uiPriority w:val="0"/>
    <w:rPr>
      <w:rFonts w:hint="eastAsia" w:ascii="宋体" w:hAnsi="宋体" w:eastAsia="宋体" w:cs="宋体"/>
      <w:b/>
      <w:bCs/>
      <w:color w:val="FF0000"/>
      <w:sz w:val="22"/>
      <w:szCs w:val="22"/>
      <w:u w:val="none"/>
    </w:rPr>
  </w:style>
  <w:style w:type="character" w:customStyle="1" w:styleId="10">
    <w:name w:val="font11"/>
    <w:basedOn w:val="7"/>
    <w:qFormat/>
    <w:uiPriority w:val="0"/>
    <w:rPr>
      <w:rFonts w:hint="eastAsia" w:ascii="宋体" w:hAnsi="宋体" w:eastAsia="宋体" w:cs="宋体"/>
      <w:color w:val="000000"/>
      <w:sz w:val="22"/>
      <w:szCs w:val="22"/>
      <w:u w:val="none"/>
    </w:rPr>
  </w:style>
  <w:style w:type="character" w:customStyle="1" w:styleId="11">
    <w:name w:val="font21"/>
    <w:basedOn w:val="7"/>
    <w:qFormat/>
    <w:uiPriority w:val="0"/>
    <w:rPr>
      <w:rFonts w:hint="eastAsia" w:ascii="宋体" w:hAnsi="宋体" w:eastAsia="宋体" w:cs="宋体"/>
      <w:color w:val="000000"/>
      <w:sz w:val="22"/>
      <w:szCs w:val="22"/>
      <w:u w:val="none"/>
    </w:rPr>
  </w:style>
  <w:style w:type="paragraph" w:customStyle="1" w:styleId="12">
    <w:name w:val="Normal_0"/>
    <w:qFormat/>
    <w:uiPriority w:val="0"/>
    <w:rPr>
      <w:rFonts w:ascii="Times New Roman" w:hAnsi="Times New Roman" w:cs="Times New Roman" w:eastAsiaTheme="minorEastAsia"/>
      <w:sz w:val="24"/>
      <w:szCs w:val="24"/>
      <w:lang w:val="en-US" w:eastAsia="zh-CN" w:bidi="ar-SA"/>
    </w:rPr>
  </w:style>
  <w:style w:type="paragraph" w:styleId="13">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187</Words>
  <Characters>1068</Characters>
  <Lines>8</Lines>
  <Paragraphs>2</Paragraphs>
  <TotalTime>8</TotalTime>
  <ScaleCrop>false</ScaleCrop>
  <LinksUpToDate>false</LinksUpToDate>
  <CharactersWithSpaces>1253</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2022-02-16T06:38:00Z</dcterms:created>
  <dc:creator>lenovo</dc:creator>
  <cp:lastModifiedBy>如何</cp:lastModifiedBy>
  <cp:lastPrinted>2022-02-16T07:57:00Z</cp:lastPrinted>
  <dcterms:modified xsi:type="dcterms:W3CDTF">2022-02-23T06:00:28Z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8B5D9C40C6744B6A8C305CCAD1F925E3</vt:lpwstr>
  </property>
</Properties>
</file>