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autoSpaceDE/>
        <w:autoSpaceDN/>
        <w:bidi w:val="0"/>
        <w:spacing w:after="0" w:line="560" w:lineRule="exact"/>
        <w:ind w:right="0"/>
        <w:jc w:val="center"/>
        <w:textAlignment w:val="auto"/>
        <w:rPr>
          <w:rFonts w:ascii="宋体" w:hAnsi="宋体" w:eastAsia="宋体"/>
          <w:b/>
          <w:sz w:val="44"/>
          <w:szCs w:val="44"/>
        </w:rPr>
      </w:pPr>
      <w:r>
        <w:rPr>
          <w:rFonts w:hint="eastAsia" w:ascii="宋体" w:hAnsi="宋体" w:eastAsia="宋体"/>
          <w:b/>
          <w:sz w:val="44"/>
          <w:szCs w:val="44"/>
        </w:rPr>
        <w:t>易县人民政府</w:t>
      </w:r>
    </w:p>
    <w:p>
      <w:pPr>
        <w:keepNext w:val="0"/>
        <w:keepLines w:val="0"/>
        <w:pageBreakBefore w:val="0"/>
        <w:widowControl/>
        <w:kinsoku/>
        <w:wordWrap/>
        <w:overflowPunct/>
        <w:autoSpaceDE/>
        <w:autoSpaceDN/>
        <w:bidi w:val="0"/>
        <w:spacing w:after="0" w:line="560" w:lineRule="exact"/>
        <w:ind w:right="0"/>
        <w:jc w:val="center"/>
        <w:textAlignment w:val="auto"/>
        <w:rPr>
          <w:rFonts w:ascii="宋体" w:hAnsi="宋体" w:eastAsia="宋体"/>
          <w:b/>
          <w:sz w:val="44"/>
          <w:szCs w:val="44"/>
        </w:rPr>
      </w:pPr>
      <w:r>
        <w:rPr>
          <w:rFonts w:hint="eastAsia" w:ascii="宋体" w:hAnsi="宋体" w:eastAsia="宋体"/>
          <w:b/>
          <w:sz w:val="44"/>
          <w:szCs w:val="44"/>
        </w:rPr>
        <w:t>行政复议决定书</w:t>
      </w:r>
    </w:p>
    <w:p>
      <w:pPr>
        <w:keepNext w:val="0"/>
        <w:keepLines w:val="0"/>
        <w:pageBreakBefore w:val="0"/>
        <w:widowControl/>
        <w:kinsoku/>
        <w:wordWrap/>
        <w:overflowPunct/>
        <w:topLinePunct/>
        <w:autoSpaceDE/>
        <w:autoSpaceDN/>
        <w:bidi w:val="0"/>
        <w:adjustRightInd w:val="0"/>
        <w:snapToGrid w:val="0"/>
        <w:spacing w:before="181" w:beforeLines="50" w:after="181" w:afterLines="50" w:line="560" w:lineRule="exact"/>
        <w:ind w:right="0"/>
        <w:jc w:val="right"/>
        <w:textAlignment w:val="auto"/>
        <w:rPr>
          <w:rFonts w:ascii="仿宋" w:hAnsi="仿宋" w:eastAsia="仿宋"/>
          <w:sz w:val="32"/>
          <w:szCs w:val="32"/>
        </w:rPr>
      </w:pPr>
      <w:r>
        <w:rPr>
          <w:rFonts w:hint="eastAsia" w:ascii="仿宋" w:hAnsi="仿宋" w:eastAsia="仿宋"/>
          <w:sz w:val="32"/>
          <w:szCs w:val="32"/>
        </w:rPr>
        <w:t>易政复决〔</w:t>
      </w:r>
      <w:r>
        <w:rPr>
          <w:rFonts w:ascii="仿宋" w:hAnsi="仿宋" w:eastAsia="仿宋"/>
          <w:sz w:val="32"/>
          <w:szCs w:val="32"/>
        </w:rPr>
        <w:t>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color w:val="auto"/>
          <w:sz w:val="32"/>
          <w:szCs w:val="32"/>
          <w:highlight w:val="none"/>
          <w:shd w:val="clear" w:color="auto"/>
          <w:lang w:val="en-US" w:eastAsia="zh-CN"/>
        </w:rPr>
        <w:t>16</w:t>
      </w:r>
      <w:r>
        <w:rPr>
          <w:rFonts w:hint="eastAsia" w:ascii="仿宋" w:hAnsi="仿宋" w:eastAsia="仿宋"/>
          <w:color w:val="auto"/>
          <w:sz w:val="32"/>
          <w:szCs w:val="32"/>
          <w:highlight w:val="none"/>
          <w:shd w:val="clear" w:color="auto"/>
        </w:rPr>
        <w:t>号</w:t>
      </w:r>
    </w:p>
    <w:p>
      <w:pPr>
        <w:keepNext w:val="0"/>
        <w:keepLines w:val="0"/>
        <w:pageBreakBefore w:val="0"/>
        <w:widowControl/>
        <w:kinsoku/>
        <w:wordWrap/>
        <w:overflowPunct/>
        <w:topLinePunct w:val="0"/>
        <w:autoSpaceDE/>
        <w:autoSpaceDN/>
        <w:bidi w:val="0"/>
        <w:adjustRightInd w:val="0"/>
        <w:snapToGrid w:val="0"/>
        <w:spacing w:after="0" w:line="560" w:lineRule="exact"/>
        <w:ind w:right="0" w:firstLine="640" w:firstLineChars="200"/>
        <w:jc w:val="both"/>
        <w:textAlignment w:val="auto"/>
        <w:rPr>
          <w:rFonts w:hint="eastAsia" w:ascii="仿宋" w:hAnsi="仿宋" w:eastAsia="仿宋"/>
          <w:sz w:val="32"/>
          <w:szCs w:val="32"/>
          <w:lang w:val="en-US" w:eastAsia="zh-CN"/>
        </w:rPr>
      </w:pPr>
      <w:r>
        <w:rPr>
          <w:rFonts w:hint="eastAsia" w:ascii="仿宋" w:hAnsi="仿宋" w:eastAsia="仿宋"/>
          <w:sz w:val="32"/>
          <w:szCs w:val="32"/>
        </w:rPr>
        <w:t>申请人：</w:t>
      </w:r>
      <w:r>
        <w:rPr>
          <w:rFonts w:hint="eastAsia" w:ascii="仿宋" w:hAnsi="仿宋" w:eastAsia="仿宋"/>
          <w:sz w:val="32"/>
          <w:szCs w:val="32"/>
          <w:lang w:val="en-US" w:eastAsia="zh-CN"/>
        </w:rPr>
        <w:t>李某1</w:t>
      </w:r>
    </w:p>
    <w:p>
      <w:pPr>
        <w:keepNext w:val="0"/>
        <w:keepLines w:val="0"/>
        <w:pageBreakBefore w:val="0"/>
        <w:widowControl/>
        <w:kinsoku/>
        <w:wordWrap/>
        <w:overflowPunct/>
        <w:topLinePunct w:val="0"/>
        <w:autoSpaceDE/>
        <w:autoSpaceDN/>
        <w:bidi w:val="0"/>
        <w:adjustRightInd w:val="0"/>
        <w:snapToGrid w:val="0"/>
        <w:spacing w:after="0" w:line="560" w:lineRule="exact"/>
        <w:ind w:right="0" w:firstLine="640" w:firstLineChars="200"/>
        <w:jc w:val="both"/>
        <w:textAlignment w:val="auto"/>
        <w:rPr>
          <w:rFonts w:hint="default" w:ascii="仿宋" w:hAnsi="仿宋" w:eastAsia="仿宋"/>
          <w:sz w:val="32"/>
          <w:szCs w:val="32"/>
          <w:lang w:val="en-US" w:eastAsia="zh-CN"/>
        </w:rPr>
      </w:pPr>
      <w:r>
        <w:rPr>
          <w:rFonts w:hint="eastAsia" w:ascii="仿宋" w:hAnsi="仿宋" w:eastAsia="仿宋"/>
          <w:sz w:val="32"/>
          <w:szCs w:val="32"/>
        </w:rPr>
        <w:t>被申请人：</w:t>
      </w:r>
      <w:r>
        <w:rPr>
          <w:rFonts w:hint="eastAsia" w:ascii="仿宋" w:hAnsi="仿宋" w:eastAsia="仿宋"/>
          <w:sz w:val="32"/>
          <w:szCs w:val="32"/>
          <w:lang w:eastAsia="zh-CN"/>
        </w:rPr>
        <w:t>易县</w:t>
      </w:r>
      <w:r>
        <w:rPr>
          <w:rFonts w:hint="eastAsia" w:ascii="仿宋" w:hAnsi="仿宋" w:eastAsia="仿宋"/>
          <w:sz w:val="32"/>
          <w:szCs w:val="32"/>
          <w:lang w:val="en-US" w:eastAsia="zh-CN"/>
        </w:rPr>
        <w:t>公安局</w:t>
      </w:r>
    </w:p>
    <w:p>
      <w:pPr>
        <w:keepNext w:val="0"/>
        <w:keepLines w:val="0"/>
        <w:pageBreakBefore w:val="0"/>
        <w:widowControl/>
        <w:kinsoku/>
        <w:wordWrap/>
        <w:overflowPunct/>
        <w:autoSpaceDE/>
        <w:autoSpaceDN/>
        <w:bidi w:val="0"/>
        <w:adjustRightInd w:val="0"/>
        <w:snapToGrid w:val="0"/>
        <w:spacing w:after="0" w:line="560" w:lineRule="exact"/>
        <w:ind w:right="0" w:firstLine="640" w:firstLineChars="200"/>
        <w:jc w:val="both"/>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法定代表人</w:t>
      </w:r>
      <w:r>
        <w:rPr>
          <w:rFonts w:hint="eastAsia" w:ascii="仿宋" w:hAnsi="仿宋" w:eastAsia="仿宋"/>
          <w:sz w:val="32"/>
          <w:szCs w:val="32"/>
        </w:rPr>
        <w:t>：</w:t>
      </w:r>
      <w:r>
        <w:rPr>
          <w:rFonts w:hint="eastAsia" w:ascii="仿宋" w:hAnsi="仿宋" w:eastAsia="仿宋"/>
          <w:sz w:val="32"/>
          <w:szCs w:val="32"/>
          <w:lang w:val="en-US" w:eastAsia="zh-CN"/>
        </w:rPr>
        <w:t xml:space="preserve">赵鸿波   </w:t>
      </w:r>
      <w:r>
        <w:rPr>
          <w:rFonts w:ascii="仿宋" w:hAnsi="仿宋" w:eastAsia="仿宋"/>
          <w:sz w:val="32"/>
          <w:szCs w:val="32"/>
        </w:rPr>
        <w:t xml:space="preserve">  </w:t>
      </w:r>
      <w:r>
        <w:rPr>
          <w:rFonts w:hint="eastAsia" w:ascii="仿宋" w:hAnsi="仿宋" w:eastAsia="仿宋"/>
          <w:sz w:val="32"/>
          <w:szCs w:val="32"/>
          <w:lang w:val="en-US" w:eastAsia="zh-CN"/>
        </w:rPr>
        <w:t xml:space="preserve"> </w:t>
      </w:r>
      <w:r>
        <w:rPr>
          <w:rFonts w:hint="eastAsia" w:ascii="仿宋" w:hAnsi="仿宋" w:eastAsia="仿宋"/>
          <w:sz w:val="32"/>
          <w:szCs w:val="32"/>
        </w:rPr>
        <w:t>职务：</w:t>
      </w:r>
      <w:r>
        <w:rPr>
          <w:rFonts w:hint="eastAsia" w:ascii="仿宋" w:hAnsi="仿宋" w:eastAsia="仿宋"/>
          <w:sz w:val="32"/>
          <w:szCs w:val="32"/>
          <w:lang w:val="en-US" w:eastAsia="zh-CN"/>
        </w:rPr>
        <w:t>局长</w:t>
      </w:r>
    </w:p>
    <w:p>
      <w:pPr>
        <w:keepNext w:val="0"/>
        <w:keepLines w:val="0"/>
        <w:pageBreakBefore w:val="0"/>
        <w:widowControl/>
        <w:kinsoku/>
        <w:wordWrap/>
        <w:overflowPunct/>
        <w:autoSpaceDE/>
        <w:autoSpaceDN/>
        <w:bidi w:val="0"/>
        <w:adjustRightInd w:val="0"/>
        <w:snapToGrid w:val="0"/>
        <w:spacing w:after="0" w:line="560" w:lineRule="exact"/>
        <w:ind w:right="0" w:firstLine="640" w:firstLineChars="200"/>
        <w:jc w:val="both"/>
        <w:textAlignment w:val="auto"/>
        <w:rPr>
          <w:rFonts w:hint="default" w:ascii="仿宋" w:hAnsi="仿宋" w:eastAsia="仿宋"/>
          <w:sz w:val="32"/>
          <w:szCs w:val="32"/>
          <w:lang w:val="en-US" w:eastAsia="zh-CN"/>
        </w:rPr>
      </w:pPr>
      <w:r>
        <w:rPr>
          <w:rFonts w:hint="eastAsia" w:ascii="仿宋" w:hAnsi="仿宋" w:eastAsia="仿宋"/>
          <w:sz w:val="32"/>
          <w:szCs w:val="32"/>
          <w:lang w:val="en-US" w:eastAsia="zh-CN"/>
        </w:rPr>
        <w:t>第三人：李某2</w:t>
      </w:r>
    </w:p>
    <w:p>
      <w:pPr>
        <w:keepNext w:val="0"/>
        <w:keepLines w:val="0"/>
        <w:pageBreakBefore w:val="0"/>
        <w:kinsoku/>
        <w:wordWrap/>
        <w:overflowPunct/>
        <w:autoSpaceDE/>
        <w:autoSpaceDN/>
        <w:bidi w:val="0"/>
        <w:spacing w:after="0" w:line="560" w:lineRule="exact"/>
        <w:ind w:firstLine="640" w:firstLineChars="200"/>
        <w:jc w:val="both"/>
        <w:textAlignment w:val="auto"/>
        <w:rPr>
          <w:rFonts w:hint="eastAsia" w:ascii="仿宋" w:hAnsi="仿宋" w:eastAsia="仿宋"/>
          <w:sz w:val="32"/>
          <w:szCs w:val="32"/>
          <w:lang w:eastAsia="zh-CN"/>
        </w:rPr>
      </w:pPr>
      <w:r>
        <w:rPr>
          <w:rFonts w:hint="eastAsia" w:ascii="仿宋" w:hAnsi="仿宋" w:eastAsia="仿宋"/>
          <w:sz w:val="32"/>
          <w:szCs w:val="32"/>
        </w:rPr>
        <w:t>申请人对被申请人于202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3</w:t>
      </w:r>
      <w:r>
        <w:rPr>
          <w:rFonts w:hint="eastAsia" w:ascii="仿宋" w:hAnsi="仿宋" w:eastAsia="仿宋"/>
          <w:sz w:val="32"/>
          <w:szCs w:val="32"/>
        </w:rPr>
        <w:t>月</w:t>
      </w:r>
      <w:r>
        <w:rPr>
          <w:rFonts w:hint="eastAsia" w:ascii="仿宋" w:hAnsi="仿宋" w:eastAsia="仿宋"/>
          <w:sz w:val="32"/>
          <w:szCs w:val="32"/>
          <w:lang w:val="en-US" w:eastAsia="zh-CN"/>
        </w:rPr>
        <w:t>22</w:t>
      </w:r>
      <w:r>
        <w:rPr>
          <w:rFonts w:hint="eastAsia" w:ascii="仿宋" w:hAnsi="仿宋" w:eastAsia="仿宋"/>
          <w:sz w:val="32"/>
          <w:szCs w:val="32"/>
        </w:rPr>
        <w:t>日作出的易公（</w:t>
      </w:r>
      <w:r>
        <w:rPr>
          <w:rFonts w:hint="eastAsia" w:ascii="仿宋" w:hAnsi="仿宋" w:eastAsia="仿宋"/>
          <w:sz w:val="32"/>
          <w:szCs w:val="32"/>
          <w:lang w:val="en-US" w:eastAsia="zh-CN"/>
        </w:rPr>
        <w:t>凌</w:t>
      </w:r>
      <w:r>
        <w:rPr>
          <w:rFonts w:hint="eastAsia" w:ascii="仿宋" w:hAnsi="仿宋" w:eastAsia="仿宋"/>
          <w:sz w:val="32"/>
          <w:szCs w:val="32"/>
        </w:rPr>
        <w:t>）行罚决字〔202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0238</w:t>
      </w:r>
      <w:r>
        <w:rPr>
          <w:rFonts w:hint="eastAsia" w:ascii="仿宋" w:hAnsi="仿宋" w:eastAsia="仿宋"/>
          <w:sz w:val="32"/>
          <w:szCs w:val="32"/>
        </w:rPr>
        <w:t>号《行政处罚决定书》不服，于2024年</w:t>
      </w:r>
      <w:r>
        <w:rPr>
          <w:rFonts w:hint="eastAsia" w:ascii="仿宋" w:hAnsi="仿宋" w:eastAsia="仿宋"/>
          <w:sz w:val="32"/>
          <w:szCs w:val="32"/>
          <w:lang w:val="en-US" w:eastAsia="zh-CN"/>
        </w:rPr>
        <w:t>4</w:t>
      </w:r>
      <w:r>
        <w:rPr>
          <w:rFonts w:hint="eastAsia" w:ascii="仿宋" w:hAnsi="仿宋" w:eastAsia="仿宋"/>
          <w:sz w:val="32"/>
          <w:szCs w:val="32"/>
        </w:rPr>
        <w:t>月</w:t>
      </w:r>
      <w:r>
        <w:rPr>
          <w:rFonts w:hint="eastAsia" w:ascii="仿宋" w:hAnsi="仿宋" w:eastAsia="仿宋"/>
          <w:sz w:val="32"/>
          <w:szCs w:val="32"/>
          <w:lang w:val="en-US" w:eastAsia="zh-CN"/>
        </w:rPr>
        <w:t>18</w:t>
      </w:r>
      <w:r>
        <w:rPr>
          <w:rFonts w:hint="eastAsia" w:ascii="仿宋" w:hAnsi="仿宋" w:eastAsia="仿宋"/>
          <w:sz w:val="32"/>
          <w:szCs w:val="32"/>
        </w:rPr>
        <w:t>日向本机关申请行政复议，本机关依法已予受理，现已审理终结。</w:t>
      </w:r>
    </w:p>
    <w:p>
      <w:pPr>
        <w:keepNext w:val="0"/>
        <w:keepLines w:val="0"/>
        <w:pageBreakBefore w:val="0"/>
        <w:kinsoku/>
        <w:wordWrap/>
        <w:overflowPunct/>
        <w:autoSpaceDE/>
        <w:autoSpaceDN/>
        <w:bidi w:val="0"/>
        <w:spacing w:after="0" w:line="560" w:lineRule="exact"/>
        <w:ind w:firstLine="642" w:firstLineChars="200"/>
        <w:jc w:val="both"/>
        <w:textAlignment w:val="auto"/>
        <w:rPr>
          <w:rFonts w:hint="default" w:ascii="仿宋" w:hAnsi="仿宋" w:eastAsia="仿宋"/>
          <w:sz w:val="32"/>
          <w:szCs w:val="32"/>
          <w:lang w:val="en-US" w:eastAsia="zh-CN"/>
        </w:rPr>
      </w:pPr>
      <w:r>
        <w:rPr>
          <w:rFonts w:hint="eastAsia" w:ascii="仿宋" w:hAnsi="仿宋" w:eastAsia="仿宋"/>
          <w:b/>
          <w:sz w:val="32"/>
          <w:szCs w:val="32"/>
        </w:rPr>
        <w:t>申请人请求：</w:t>
      </w:r>
      <w:r>
        <w:rPr>
          <w:rFonts w:hint="eastAsia" w:ascii="仿宋" w:hAnsi="仿宋" w:eastAsia="仿宋"/>
          <w:sz w:val="32"/>
          <w:szCs w:val="32"/>
        </w:rPr>
        <w:t>撤销被申请人作出的易公（</w:t>
      </w:r>
      <w:r>
        <w:rPr>
          <w:rFonts w:hint="eastAsia" w:ascii="仿宋" w:hAnsi="仿宋" w:eastAsia="仿宋"/>
          <w:sz w:val="32"/>
          <w:szCs w:val="32"/>
          <w:lang w:val="en-US" w:eastAsia="zh-CN"/>
        </w:rPr>
        <w:t>凌</w:t>
      </w:r>
      <w:r>
        <w:rPr>
          <w:rFonts w:hint="eastAsia" w:ascii="仿宋" w:hAnsi="仿宋" w:eastAsia="仿宋"/>
          <w:sz w:val="32"/>
          <w:szCs w:val="32"/>
        </w:rPr>
        <w:t>）行罚决字〔202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0238</w:t>
      </w:r>
      <w:r>
        <w:rPr>
          <w:rFonts w:hint="eastAsia" w:ascii="仿宋" w:hAnsi="仿宋" w:eastAsia="仿宋"/>
          <w:sz w:val="32"/>
          <w:szCs w:val="32"/>
        </w:rPr>
        <w:t>号《行政处罚决定书》</w:t>
      </w:r>
      <w:r>
        <w:rPr>
          <w:rFonts w:hint="eastAsia" w:ascii="仿宋" w:hAnsi="仿宋" w:eastAsia="仿宋"/>
          <w:sz w:val="32"/>
          <w:szCs w:val="32"/>
          <w:lang w:eastAsia="zh-CN"/>
        </w:rPr>
        <w:t>，</w:t>
      </w:r>
      <w:r>
        <w:rPr>
          <w:rFonts w:hint="eastAsia" w:ascii="仿宋" w:hAnsi="仿宋" w:eastAsia="仿宋"/>
          <w:sz w:val="32"/>
          <w:szCs w:val="32"/>
          <w:lang w:val="en-US" w:eastAsia="zh-CN"/>
        </w:rPr>
        <w:t>责令被申请人重新作出处理。</w:t>
      </w:r>
    </w:p>
    <w:p>
      <w:pPr>
        <w:keepNext w:val="0"/>
        <w:keepLines w:val="0"/>
        <w:pageBreakBefore w:val="0"/>
        <w:widowControl w:val="0"/>
        <w:kinsoku/>
        <w:wordWrap/>
        <w:overflowPunct/>
        <w:topLinePunct w:val="0"/>
        <w:autoSpaceDE/>
        <w:autoSpaceDN/>
        <w:bidi w:val="0"/>
        <w:adjustRightInd/>
        <w:snapToGrid/>
        <w:spacing w:after="0" w:line="560" w:lineRule="exact"/>
        <w:ind w:firstLine="642" w:firstLineChars="200"/>
        <w:jc w:val="both"/>
        <w:textAlignment w:val="auto"/>
        <w:rPr>
          <w:rFonts w:hint="default" w:ascii="仿宋" w:hAnsi="仿宋" w:eastAsia="仿宋"/>
          <w:b/>
          <w:sz w:val="32"/>
          <w:szCs w:val="32"/>
          <w:lang w:val="en-US"/>
        </w:rPr>
      </w:pPr>
      <w:r>
        <w:rPr>
          <w:rFonts w:hint="eastAsia" w:ascii="仿宋" w:hAnsi="仿宋" w:eastAsia="仿宋"/>
          <w:b/>
          <w:sz w:val="32"/>
          <w:szCs w:val="32"/>
        </w:rPr>
        <w:t>申请人称：</w:t>
      </w:r>
      <w:r>
        <w:rPr>
          <w:rFonts w:hint="eastAsia" w:ascii="仿宋" w:hAnsi="仿宋" w:eastAsia="仿宋" w:cs="仿宋"/>
          <w:sz w:val="32"/>
          <w:szCs w:val="32"/>
          <w:lang w:val="en-US" w:eastAsia="zh-CN"/>
        </w:rPr>
        <w:t>2024年3月17日，李某2故意将申请人家栽种的十一棵杨树和一棵绿化树点燃，后经李某2媳妇承认上述事实。而被申请人认定李某2随意将未熄灭的烟头扔在自家地上，过失点燃申请人家的十一棵杨树。申请人认为被申请人认定事实错误，特申请县政府依法撤销该决定，责令被申请人重新作出处理。</w:t>
      </w:r>
    </w:p>
    <w:p>
      <w:pPr>
        <w:keepNext w:val="0"/>
        <w:keepLines w:val="0"/>
        <w:pageBreakBefore w:val="0"/>
        <w:kinsoku/>
        <w:wordWrap/>
        <w:overflowPunct/>
        <w:autoSpaceDE/>
        <w:autoSpaceDN/>
        <w:bidi w:val="0"/>
        <w:spacing w:after="0" w:line="560" w:lineRule="exact"/>
        <w:ind w:firstLine="642" w:firstLineChars="200"/>
        <w:jc w:val="both"/>
        <w:textAlignment w:val="auto"/>
        <w:rPr>
          <w:rFonts w:hint="eastAsia" w:ascii="仿宋" w:hAnsi="仿宋" w:eastAsia="仿宋"/>
          <w:bCs/>
          <w:sz w:val="32"/>
          <w:szCs w:val="32"/>
        </w:rPr>
      </w:pPr>
      <w:r>
        <w:rPr>
          <w:rFonts w:hint="eastAsia" w:ascii="仿宋" w:hAnsi="仿宋" w:eastAsia="仿宋"/>
          <w:b/>
          <w:sz w:val="32"/>
          <w:szCs w:val="32"/>
          <w:lang w:val="en-US" w:eastAsia="zh-CN"/>
        </w:rPr>
        <w:t>被申请人书面答复称：</w:t>
      </w:r>
      <w:r>
        <w:rPr>
          <w:rFonts w:hint="eastAsia" w:ascii="仿宋" w:hAnsi="仿宋" w:eastAsia="仿宋"/>
          <w:b w:val="0"/>
          <w:bCs/>
          <w:sz w:val="32"/>
          <w:szCs w:val="32"/>
          <w:lang w:val="en-US" w:eastAsia="zh-CN"/>
        </w:rPr>
        <w:t>2024年3月17日16时许，被申请人接到报警，钟某某(申请人丈夫)称自家树木被火烧毁，民警立即前往现场，现场位于易县凌云册乡XX村申请人家果园与李某2果园交界处，起火点位于李某2家果园，火势蔓延至申请人家果园后，将申请人家杨树烧毁，李某2供述其在自家果园内将未熄灭的烟头扔在了果园南侧的土地上，过失将附近杂草堆引燃，杂草将申请人栽种的十一棵杨树引燃，导致申请人家杨树不同程度受损，李某2供述与现场情况一致，现场周边无监控。民警现场询问李某2的情况时，钟某某称“他(李某2)说该赔我赔我”；现场询问起火原因时，钟某某称“他(李某2)点那(手指李某2果园方向)树叶来着”；故认定李某2无故意使钟某某财产受损的意图。起火点位于李某2家果园，火场主要位于申请人家果园，南邻李某2家果园，种植有果树，东、西邻李某2家房屋，北侧为申请人家果园，案发时为空地，依现场情况，如风向发生变化或火势未得到控制，李某2家配房及果园亦会被烧损毁；</w:t>
      </w:r>
      <w:bookmarkStart w:id="0" w:name="_GoBack"/>
      <w:bookmarkEnd w:id="0"/>
      <w:r>
        <w:rPr>
          <w:rFonts w:hint="eastAsia" w:ascii="仿宋" w:hAnsi="仿宋" w:eastAsia="仿宋"/>
          <w:b w:val="0"/>
          <w:bCs/>
          <w:sz w:val="32"/>
          <w:szCs w:val="32"/>
          <w:lang w:val="en-US" w:eastAsia="zh-CN"/>
        </w:rPr>
        <w:t>现场询问双方是否有矛盾时，申请人称“上一辈多多少少有些矛盾，我们两家没矛盾”，故认定李某2无故意纵火的动机。民警在口头传唤李某2时，在其耕地内发现多处小范围起火痕迹，均未引起火灾，钟某某称“他老是放火......不是一回两回了”，由此可见李某2安全意识淡薄，素有引发小范围起火的行为，故被申请人认定李某2过失引起火灾，于2024年3月22日根据《中华人民共和国消防法》第六十四条第二项之规定，决定对李某2行政拘留十日，因李某2七十周岁以上，根据《中华人民共和国治安管理处罚法》第二十一条第三款之规定，决定不执行行政拘留。</w:t>
      </w:r>
      <w:r>
        <w:rPr>
          <w:rFonts w:hint="eastAsia" w:ascii="仿宋" w:hAnsi="仿宋" w:eastAsia="仿宋"/>
          <w:bCs/>
          <w:sz w:val="32"/>
          <w:szCs w:val="32"/>
        </w:rPr>
        <w:t>被申请人认为此案程序合法，适用法律正确，请上级机关予以维持。</w:t>
      </w:r>
    </w:p>
    <w:p>
      <w:pPr>
        <w:keepNext w:val="0"/>
        <w:keepLines w:val="0"/>
        <w:pageBreakBefore w:val="0"/>
        <w:kinsoku/>
        <w:wordWrap/>
        <w:overflowPunct/>
        <w:autoSpaceDE/>
        <w:autoSpaceDN/>
        <w:bidi w:val="0"/>
        <w:spacing w:after="0" w:line="560" w:lineRule="exact"/>
        <w:ind w:firstLine="642" w:firstLineChars="200"/>
        <w:jc w:val="both"/>
        <w:textAlignment w:val="auto"/>
        <w:rPr>
          <w:rFonts w:hint="eastAsia" w:ascii="仿宋" w:hAnsi="仿宋" w:eastAsia="仿宋"/>
          <w:bCs/>
          <w:sz w:val="32"/>
          <w:szCs w:val="32"/>
        </w:rPr>
      </w:pPr>
      <w:r>
        <w:rPr>
          <w:rFonts w:hint="eastAsia" w:ascii="仿宋" w:hAnsi="仿宋" w:eastAsia="仿宋"/>
          <w:b/>
          <w:sz w:val="32"/>
          <w:szCs w:val="32"/>
        </w:rPr>
        <w:t>第三人</w:t>
      </w:r>
      <w:r>
        <w:rPr>
          <w:rFonts w:hint="eastAsia" w:ascii="仿宋" w:hAnsi="仿宋" w:eastAsia="仿宋"/>
          <w:b/>
          <w:sz w:val="32"/>
          <w:szCs w:val="32"/>
          <w:lang w:val="en-US" w:eastAsia="zh-CN"/>
        </w:rPr>
        <w:t>李某2</w:t>
      </w:r>
      <w:r>
        <w:rPr>
          <w:rFonts w:hint="eastAsia" w:ascii="仿宋" w:hAnsi="仿宋" w:eastAsia="仿宋"/>
          <w:b/>
          <w:sz w:val="32"/>
          <w:szCs w:val="32"/>
        </w:rPr>
        <w:t>在答复期间未提交证据和书面意见。</w:t>
      </w:r>
    </w:p>
    <w:p>
      <w:pPr>
        <w:keepNext w:val="0"/>
        <w:keepLines w:val="0"/>
        <w:pageBreakBefore w:val="0"/>
        <w:widowControl w:val="0"/>
        <w:kinsoku/>
        <w:wordWrap/>
        <w:overflowPunct/>
        <w:topLinePunct w:val="0"/>
        <w:autoSpaceDE/>
        <w:autoSpaceDN/>
        <w:bidi w:val="0"/>
        <w:adjustRightInd/>
        <w:snapToGrid/>
        <w:spacing w:after="0" w:line="560" w:lineRule="exact"/>
        <w:ind w:firstLine="642" w:firstLineChars="200"/>
        <w:jc w:val="both"/>
        <w:textAlignment w:val="auto"/>
        <w:rPr>
          <w:rFonts w:hint="eastAsia" w:ascii="仿宋" w:hAnsi="仿宋" w:eastAsia="仿宋"/>
          <w:b w:val="0"/>
          <w:bCs/>
          <w:sz w:val="32"/>
          <w:szCs w:val="32"/>
          <w:lang w:val="en-US" w:eastAsia="zh-CN"/>
        </w:rPr>
      </w:pPr>
      <w:r>
        <w:rPr>
          <w:rFonts w:hint="eastAsia" w:ascii="仿宋" w:hAnsi="仿宋" w:eastAsia="仿宋"/>
          <w:b/>
          <w:sz w:val="32"/>
          <w:szCs w:val="32"/>
        </w:rPr>
        <w:t>经审理查明：</w:t>
      </w:r>
      <w:r>
        <w:rPr>
          <w:rFonts w:hint="eastAsia" w:ascii="仿宋" w:hAnsi="仿宋" w:eastAsia="仿宋"/>
          <w:b w:val="0"/>
          <w:bCs/>
          <w:sz w:val="32"/>
          <w:szCs w:val="32"/>
          <w:lang w:val="en-US" w:eastAsia="zh-CN"/>
        </w:rPr>
        <w:t>2024年3月17日16时许，钟某某（申请人丈夫）报警称其邻居李某2在自家果园内点火，火烧至其果园内，致其园内十一棵杨树被烧毁。被申请人于当日受案。经被申请人调查发现，案发当日李某2在干活时随意将未熄灭的烟头扔在了自家果园南侧的土地上，将附近杂草堆引燃，后火势蔓延至申请人家的果园，将申请人家的部分树木烧毁。2024年3月22日，被申请人经调查、询问、勘验、处罚告知等程序后，依据《中华人民共和国消防法》第六十四条第二项之规定，作出对李某2行政拘留十日的行政处罚决定。因李某2系七十周岁以上，根据《中华人民共和国治安管理处罚法》第二十一条第三款之规定，被申请人决定对其不执行行政拘留。</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both"/>
        <w:textAlignment w:val="auto"/>
        <w:rPr>
          <w:rFonts w:hint="default" w:ascii="仿宋" w:hAnsi="仿宋" w:eastAsia="仿宋"/>
          <w:b w:val="0"/>
          <w:bCs/>
          <w:sz w:val="32"/>
          <w:szCs w:val="32"/>
          <w:lang w:val="en-US" w:eastAsia="zh-CN"/>
        </w:rPr>
      </w:pPr>
      <w:r>
        <w:rPr>
          <w:rFonts w:hint="eastAsia" w:ascii="仿宋" w:hAnsi="仿宋" w:eastAsia="仿宋"/>
          <w:b w:val="0"/>
          <w:bCs/>
          <w:sz w:val="32"/>
          <w:szCs w:val="32"/>
          <w:lang w:val="en-US" w:eastAsia="zh-CN"/>
        </w:rPr>
        <w:t>另查明，被申请人</w:t>
      </w:r>
      <w:r>
        <w:rPr>
          <w:rFonts w:hint="eastAsia" w:ascii="仿宋" w:hAnsi="仿宋" w:eastAsia="仿宋"/>
          <w:sz w:val="32"/>
          <w:szCs w:val="32"/>
        </w:rPr>
        <w:t>于202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3</w:t>
      </w:r>
      <w:r>
        <w:rPr>
          <w:rFonts w:hint="eastAsia" w:ascii="仿宋" w:hAnsi="仿宋" w:eastAsia="仿宋"/>
          <w:sz w:val="32"/>
          <w:szCs w:val="32"/>
        </w:rPr>
        <w:t>月</w:t>
      </w:r>
      <w:r>
        <w:rPr>
          <w:rFonts w:hint="eastAsia" w:ascii="仿宋" w:hAnsi="仿宋" w:eastAsia="仿宋"/>
          <w:sz w:val="32"/>
          <w:szCs w:val="32"/>
          <w:lang w:val="en-US" w:eastAsia="zh-CN"/>
        </w:rPr>
        <w:t>22</w:t>
      </w:r>
      <w:r>
        <w:rPr>
          <w:rFonts w:hint="eastAsia" w:ascii="仿宋" w:hAnsi="仿宋" w:eastAsia="仿宋"/>
          <w:sz w:val="32"/>
          <w:szCs w:val="32"/>
        </w:rPr>
        <w:t>日作出的易公（</w:t>
      </w:r>
      <w:r>
        <w:rPr>
          <w:rFonts w:hint="eastAsia" w:ascii="仿宋" w:hAnsi="仿宋" w:eastAsia="仿宋"/>
          <w:sz w:val="32"/>
          <w:szCs w:val="32"/>
          <w:lang w:val="en-US" w:eastAsia="zh-CN"/>
        </w:rPr>
        <w:t>凌</w:t>
      </w:r>
      <w:r>
        <w:rPr>
          <w:rFonts w:hint="eastAsia" w:ascii="仿宋" w:hAnsi="仿宋" w:eastAsia="仿宋"/>
          <w:sz w:val="32"/>
          <w:szCs w:val="32"/>
        </w:rPr>
        <w:t>）行罚决字〔202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0238</w:t>
      </w:r>
      <w:r>
        <w:rPr>
          <w:rFonts w:hint="eastAsia" w:ascii="仿宋" w:hAnsi="仿宋" w:eastAsia="仿宋"/>
          <w:sz w:val="32"/>
          <w:szCs w:val="32"/>
        </w:rPr>
        <w:t>号《行政处罚决定书》</w:t>
      </w:r>
      <w:r>
        <w:rPr>
          <w:rFonts w:hint="eastAsia" w:ascii="仿宋" w:hAnsi="仿宋" w:eastAsia="仿宋"/>
          <w:sz w:val="32"/>
          <w:szCs w:val="32"/>
          <w:lang w:eastAsia="zh-CN"/>
        </w:rPr>
        <w:t>认定的烧毁</w:t>
      </w:r>
      <w:r>
        <w:rPr>
          <w:rFonts w:hint="eastAsia" w:ascii="仿宋" w:hAnsi="仿宋" w:eastAsia="仿宋"/>
          <w:sz w:val="32"/>
          <w:szCs w:val="32"/>
          <w:lang w:val="en-US" w:eastAsia="zh-CN"/>
        </w:rPr>
        <w:t>十一棵杨树系笔误，实际烧毁</w:t>
      </w:r>
      <w:r>
        <w:rPr>
          <w:rFonts w:hint="eastAsia" w:ascii="仿宋" w:hAnsi="仿宋" w:eastAsia="仿宋" w:cs="仿宋"/>
          <w:sz w:val="32"/>
          <w:szCs w:val="32"/>
          <w:lang w:val="en-US" w:eastAsia="zh-CN"/>
        </w:rPr>
        <w:t>十一棵杨树和一棵绿化树，被申请人</w:t>
      </w:r>
      <w:r>
        <w:rPr>
          <w:rFonts w:hint="eastAsia" w:ascii="仿宋" w:hAnsi="仿宋" w:eastAsia="仿宋"/>
          <w:sz w:val="32"/>
          <w:szCs w:val="32"/>
          <w:lang w:val="en-US" w:eastAsia="zh-CN"/>
        </w:rPr>
        <w:t>已作出修改并送达当事人，申请人于2024年6月3日撤回对烧毁树木数量认定错误的复议申请。</w:t>
      </w:r>
    </w:p>
    <w:p>
      <w:pPr>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default" w:ascii="仿宋" w:hAnsi="仿宋" w:eastAsia="仿宋"/>
          <w:b w:val="0"/>
          <w:bCs/>
          <w:sz w:val="32"/>
          <w:szCs w:val="32"/>
          <w:lang w:val="en-US" w:eastAsia="zh-CN"/>
        </w:rPr>
      </w:pPr>
      <w:r>
        <w:rPr>
          <w:rFonts w:hint="eastAsia" w:ascii="仿宋" w:hAnsi="仿宋" w:eastAsia="仿宋"/>
          <w:b w:val="0"/>
          <w:bCs/>
          <w:sz w:val="32"/>
          <w:szCs w:val="32"/>
          <w:lang w:val="en-US" w:eastAsia="zh-CN"/>
        </w:rPr>
        <w:t>以上事实有视听资料、询问笔录、现场勘验等证据证实。</w:t>
      </w:r>
    </w:p>
    <w:p>
      <w:pPr>
        <w:keepNext w:val="0"/>
        <w:keepLines w:val="0"/>
        <w:pageBreakBefore w:val="0"/>
        <w:kinsoku/>
        <w:wordWrap/>
        <w:overflowPunct/>
        <w:autoSpaceDE/>
        <w:autoSpaceDN/>
        <w:bidi w:val="0"/>
        <w:spacing w:after="0" w:line="560" w:lineRule="exact"/>
        <w:ind w:firstLine="642" w:firstLineChars="200"/>
        <w:jc w:val="both"/>
        <w:textAlignment w:val="auto"/>
        <w:rPr>
          <w:rFonts w:hint="eastAsia" w:ascii="仿宋" w:hAnsi="仿宋" w:eastAsia="仿宋"/>
          <w:sz w:val="32"/>
          <w:szCs w:val="32"/>
        </w:rPr>
      </w:pPr>
      <w:r>
        <w:rPr>
          <w:rFonts w:hint="eastAsia" w:ascii="仿宋" w:hAnsi="仿宋" w:eastAsia="仿宋"/>
          <w:b/>
          <w:bCs w:val="0"/>
          <w:sz w:val="32"/>
          <w:szCs w:val="32"/>
        </w:rPr>
        <w:t>本机关认为</w:t>
      </w:r>
      <w:r>
        <w:rPr>
          <w:rFonts w:hint="eastAsia" w:ascii="仿宋" w:hAnsi="仿宋" w:eastAsia="仿宋"/>
          <w:b w:val="0"/>
          <w:bCs/>
          <w:sz w:val="32"/>
          <w:szCs w:val="32"/>
          <w:lang w:eastAsia="zh-CN"/>
        </w:rPr>
        <w:t>：</w:t>
      </w:r>
      <w:r>
        <w:rPr>
          <w:rFonts w:hint="eastAsia" w:ascii="仿宋" w:hAnsi="仿宋" w:eastAsia="仿宋"/>
          <w:sz w:val="32"/>
          <w:szCs w:val="32"/>
        </w:rPr>
        <w:t>一、被申请人具有作出案涉行政处罚的法定职权。《中华人民共和国治安管理处罚法》第七条规定，县级以上地方各级人民政府公安机关负责本行政区域内的治安管理工作。第九十一条规定，治安管理处罚由县级以上人民政府公安机关决定；其中警告、五百元以下的罚款可以由公安派出所决定。</w:t>
      </w:r>
    </w:p>
    <w:p>
      <w:pPr>
        <w:keepNext w:val="0"/>
        <w:keepLines w:val="0"/>
        <w:pageBreakBefore w:val="0"/>
        <w:kinsoku/>
        <w:wordWrap/>
        <w:overflowPunct/>
        <w:autoSpaceDE/>
        <w:autoSpaceDN/>
        <w:bidi w:val="0"/>
        <w:spacing w:after="0" w:line="560" w:lineRule="exact"/>
        <w:ind w:firstLine="640" w:firstLineChars="200"/>
        <w:jc w:val="both"/>
        <w:textAlignment w:val="auto"/>
        <w:rPr>
          <w:rFonts w:hint="eastAsia" w:ascii="仿宋" w:hAnsi="仿宋" w:eastAsia="仿宋"/>
          <w:b w:val="0"/>
          <w:bCs/>
          <w:sz w:val="32"/>
          <w:szCs w:val="32"/>
          <w:lang w:eastAsia="zh-CN"/>
        </w:rPr>
      </w:pPr>
      <w:r>
        <w:rPr>
          <w:rFonts w:hint="eastAsia" w:ascii="仿宋" w:hAnsi="仿宋" w:eastAsia="仿宋"/>
          <w:sz w:val="32"/>
          <w:szCs w:val="32"/>
          <w:lang w:eastAsia="zh-CN"/>
        </w:rPr>
        <w:t>二、</w:t>
      </w:r>
      <w:r>
        <w:rPr>
          <w:rFonts w:hint="eastAsia" w:ascii="仿宋" w:hAnsi="仿宋" w:eastAsia="仿宋"/>
          <w:sz w:val="32"/>
          <w:szCs w:val="32"/>
        </w:rPr>
        <w:t>案涉行政处罚认定事实清楚，证据确凿，适用依据正确，量罚适当</w:t>
      </w:r>
      <w:r>
        <w:rPr>
          <w:rFonts w:hint="eastAsia" w:ascii="仿宋" w:hAnsi="仿宋" w:eastAsia="仿宋"/>
          <w:sz w:val="32"/>
          <w:szCs w:val="32"/>
          <w:lang w:eastAsia="zh-CN"/>
        </w:rPr>
        <w:t>。</w:t>
      </w:r>
      <w:r>
        <w:rPr>
          <w:rFonts w:hint="eastAsia" w:ascii="仿宋" w:hAnsi="仿宋" w:eastAsia="仿宋"/>
          <w:bCs/>
          <w:sz w:val="32"/>
          <w:szCs w:val="32"/>
        </w:rPr>
        <w:t>《中华人民共和国</w:t>
      </w:r>
      <w:r>
        <w:rPr>
          <w:rFonts w:hint="eastAsia" w:ascii="仿宋" w:hAnsi="仿宋" w:eastAsia="仿宋"/>
          <w:bCs/>
          <w:sz w:val="32"/>
          <w:szCs w:val="32"/>
          <w:lang w:eastAsia="zh-CN"/>
        </w:rPr>
        <w:t>消防</w:t>
      </w:r>
      <w:r>
        <w:rPr>
          <w:rFonts w:hint="eastAsia" w:ascii="仿宋" w:hAnsi="仿宋" w:eastAsia="仿宋"/>
          <w:bCs/>
          <w:sz w:val="32"/>
          <w:szCs w:val="32"/>
        </w:rPr>
        <w:t>法》第</w:t>
      </w:r>
      <w:r>
        <w:rPr>
          <w:rFonts w:hint="eastAsia" w:ascii="仿宋" w:hAnsi="仿宋" w:eastAsia="仿宋"/>
          <w:bCs/>
          <w:sz w:val="32"/>
          <w:szCs w:val="32"/>
          <w:lang w:eastAsia="zh-CN"/>
        </w:rPr>
        <w:t>六十四</w:t>
      </w:r>
      <w:r>
        <w:rPr>
          <w:rFonts w:hint="eastAsia" w:ascii="仿宋" w:hAnsi="仿宋" w:eastAsia="仿宋"/>
          <w:bCs/>
          <w:sz w:val="32"/>
          <w:szCs w:val="32"/>
        </w:rPr>
        <w:t>条规定</w:t>
      </w:r>
      <w:r>
        <w:rPr>
          <w:rFonts w:hint="eastAsia" w:ascii="仿宋" w:hAnsi="仿宋" w:eastAsia="仿宋"/>
          <w:bCs/>
          <w:sz w:val="32"/>
          <w:szCs w:val="32"/>
          <w:lang w:eastAsia="zh-CN"/>
        </w:rPr>
        <w:t>：“</w:t>
      </w:r>
      <w:r>
        <w:rPr>
          <w:rFonts w:hint="eastAsia" w:ascii="仿宋" w:hAnsi="仿宋" w:eastAsia="仿宋"/>
          <w:bCs/>
          <w:sz w:val="32"/>
          <w:szCs w:val="32"/>
          <w:lang w:val="en-US" w:eastAsia="zh-CN"/>
        </w:rPr>
        <w:t>违反本法规定，有下列行为之一，尚不构成犯罪的，处十日以上十五日以下拘留，可以并处五百元以下罚款；情节较轻的，处警告或者五百元以下罚款：（二）过失引起火灾的；</w:t>
      </w:r>
      <w:r>
        <w:rPr>
          <w:rFonts w:hint="eastAsia" w:ascii="仿宋" w:hAnsi="仿宋" w:eastAsia="仿宋"/>
          <w:bCs/>
          <w:sz w:val="32"/>
          <w:szCs w:val="32"/>
          <w:lang w:eastAsia="zh-CN"/>
        </w:rPr>
        <w:t>”。</w:t>
      </w:r>
      <w:r>
        <w:rPr>
          <w:rFonts w:hint="default" w:ascii="仿宋" w:hAnsi="仿宋" w:eastAsia="仿宋"/>
          <w:b w:val="0"/>
          <w:bCs/>
          <w:sz w:val="32"/>
          <w:szCs w:val="32"/>
          <w:lang w:val="en-US" w:eastAsia="zh-CN"/>
        </w:rPr>
        <w:t>《中华人民共和国治安管理处罚法》第</w:t>
      </w:r>
      <w:r>
        <w:rPr>
          <w:rFonts w:hint="eastAsia" w:ascii="仿宋" w:hAnsi="仿宋" w:eastAsia="仿宋"/>
          <w:b w:val="0"/>
          <w:bCs/>
          <w:sz w:val="32"/>
          <w:szCs w:val="32"/>
          <w:lang w:val="en-US" w:eastAsia="zh-CN"/>
        </w:rPr>
        <w:t>二十一</w:t>
      </w:r>
      <w:r>
        <w:rPr>
          <w:rFonts w:hint="default" w:ascii="仿宋" w:hAnsi="仿宋" w:eastAsia="仿宋"/>
          <w:b w:val="0"/>
          <w:bCs/>
          <w:sz w:val="32"/>
          <w:szCs w:val="32"/>
          <w:lang w:val="en-US" w:eastAsia="zh-CN"/>
        </w:rPr>
        <w:t>条规定</w:t>
      </w:r>
      <w:r>
        <w:rPr>
          <w:rFonts w:hint="eastAsia" w:ascii="仿宋" w:hAnsi="仿宋" w:eastAsia="仿宋"/>
          <w:b w:val="0"/>
          <w:bCs/>
          <w:sz w:val="32"/>
          <w:szCs w:val="32"/>
          <w:lang w:val="en-US" w:eastAsia="zh-CN"/>
        </w:rPr>
        <w:t>：“违反治安管理行为人有下列情形之一，依照本法应当给予行政拘留处罚的，不执行行政拘留处罚：（三）七十周岁以上的；”。</w:t>
      </w:r>
      <w:r>
        <w:rPr>
          <w:rFonts w:hint="eastAsia" w:ascii="仿宋" w:hAnsi="仿宋" w:eastAsia="仿宋"/>
          <w:sz w:val="32"/>
          <w:szCs w:val="32"/>
          <w:lang w:eastAsia="zh-CN"/>
        </w:rPr>
        <w:t>本案中，被申请人所作</w:t>
      </w:r>
      <w:r>
        <w:rPr>
          <w:rFonts w:hint="eastAsia" w:ascii="仿宋" w:hAnsi="仿宋" w:eastAsia="仿宋"/>
          <w:b w:val="0"/>
          <w:bCs/>
          <w:sz w:val="32"/>
          <w:szCs w:val="32"/>
          <w:lang w:val="en-US" w:eastAsia="zh-CN"/>
        </w:rPr>
        <w:t>询问笔录、勘验笔录及视听资料等证据</w:t>
      </w:r>
      <w:r>
        <w:rPr>
          <w:rFonts w:hint="eastAsia" w:ascii="仿宋" w:hAnsi="仿宋" w:eastAsia="仿宋"/>
          <w:sz w:val="32"/>
          <w:szCs w:val="32"/>
          <w:lang w:eastAsia="zh-CN"/>
        </w:rPr>
        <w:t>能够证实</w:t>
      </w:r>
      <w:r>
        <w:rPr>
          <w:rFonts w:hint="eastAsia" w:ascii="仿宋" w:hAnsi="仿宋" w:eastAsia="仿宋"/>
          <w:b w:val="0"/>
          <w:bCs/>
          <w:sz w:val="32"/>
          <w:szCs w:val="32"/>
          <w:lang w:val="en-US" w:eastAsia="zh-CN"/>
        </w:rPr>
        <w:t>李某2的行为构成过失引起火灾，被申请人决定对其行政拘留十日，</w:t>
      </w:r>
      <w:r>
        <w:rPr>
          <w:rFonts w:hint="eastAsia" w:ascii="仿宋" w:hAnsi="仿宋" w:eastAsia="仿宋"/>
          <w:sz w:val="32"/>
          <w:szCs w:val="32"/>
          <w:lang w:eastAsia="zh-CN"/>
        </w:rPr>
        <w:t>另</w:t>
      </w:r>
      <w:r>
        <w:rPr>
          <w:rFonts w:hint="eastAsia" w:ascii="仿宋" w:hAnsi="仿宋" w:eastAsia="仿宋"/>
          <w:b w:val="0"/>
          <w:bCs/>
          <w:sz w:val="32"/>
          <w:szCs w:val="32"/>
          <w:lang w:val="en-US" w:eastAsia="zh-CN"/>
        </w:rPr>
        <w:t>因李某2系七十周岁以上，故对其不执行行政拘留。综上，</w:t>
      </w:r>
      <w:r>
        <w:rPr>
          <w:rFonts w:hint="eastAsia" w:ascii="仿宋" w:hAnsi="仿宋" w:eastAsia="仿宋"/>
          <w:sz w:val="32"/>
          <w:szCs w:val="32"/>
          <w:lang w:eastAsia="zh-CN"/>
        </w:rPr>
        <w:t>被申请人依据上述法律规定对</w:t>
      </w:r>
      <w:r>
        <w:rPr>
          <w:rFonts w:hint="eastAsia" w:ascii="仿宋" w:hAnsi="仿宋" w:eastAsia="仿宋"/>
          <w:sz w:val="32"/>
          <w:szCs w:val="32"/>
          <w:lang w:val="en-US" w:eastAsia="zh-CN"/>
        </w:rPr>
        <w:t>李</w:t>
      </w:r>
      <w:r>
        <w:rPr>
          <w:rFonts w:hint="eastAsia" w:ascii="仿宋" w:hAnsi="仿宋" w:eastAsia="仿宋"/>
          <w:b w:val="0"/>
          <w:bCs/>
          <w:sz w:val="32"/>
          <w:szCs w:val="32"/>
          <w:lang w:val="en-US" w:eastAsia="zh-CN"/>
        </w:rPr>
        <w:t>某2</w:t>
      </w:r>
      <w:r>
        <w:rPr>
          <w:rFonts w:hint="eastAsia" w:ascii="仿宋" w:hAnsi="仿宋" w:eastAsia="仿宋"/>
          <w:sz w:val="32"/>
          <w:szCs w:val="32"/>
          <w:lang w:eastAsia="zh-CN"/>
        </w:rPr>
        <w:t>作出案涉行政处罚，适用依据正确，量罚适当。</w:t>
      </w:r>
    </w:p>
    <w:p>
      <w:pPr>
        <w:keepNext w:val="0"/>
        <w:keepLines w:val="0"/>
        <w:pageBreakBefore w:val="0"/>
        <w:widowControl/>
        <w:numPr>
          <w:ilvl w:val="0"/>
          <w:numId w:val="0"/>
        </w:numPr>
        <w:kinsoku/>
        <w:wordWrap/>
        <w:overflowPunct/>
        <w:topLinePunct w:val="0"/>
        <w:autoSpaceDE/>
        <w:autoSpaceDN/>
        <w:bidi w:val="0"/>
        <w:adjustRightInd w:val="0"/>
        <w:snapToGrid w:val="0"/>
        <w:spacing w:after="0" w:line="560" w:lineRule="exact"/>
        <w:ind w:firstLine="640" w:firstLineChars="200"/>
        <w:jc w:val="both"/>
        <w:textAlignment w:val="auto"/>
        <w:rPr>
          <w:rFonts w:hint="eastAsia" w:ascii="仿宋" w:hAnsi="仿宋" w:eastAsia="仿宋"/>
          <w:b w:val="0"/>
          <w:bCs/>
          <w:color w:val="000000" w:themeColor="text1"/>
          <w:sz w:val="32"/>
          <w:szCs w:val="32"/>
          <w:lang w:eastAsia="zh-CN"/>
          <w14:textFill>
            <w14:solidFill>
              <w14:schemeClr w14:val="tx1"/>
            </w14:solidFill>
          </w14:textFill>
        </w:rPr>
      </w:pPr>
      <w:r>
        <w:rPr>
          <w:rFonts w:hint="eastAsia" w:ascii="仿宋" w:hAnsi="仿宋" w:eastAsia="仿宋"/>
          <w:sz w:val="32"/>
          <w:szCs w:val="32"/>
          <w:lang w:eastAsia="zh-CN"/>
        </w:rPr>
        <w:t>三、</w:t>
      </w:r>
      <w:r>
        <w:rPr>
          <w:rFonts w:hint="eastAsia" w:ascii="仿宋" w:hAnsi="仿宋" w:eastAsia="仿宋"/>
          <w:sz w:val="32"/>
          <w:szCs w:val="32"/>
        </w:rPr>
        <w:t>案涉行政处罚决定程序</w:t>
      </w:r>
      <w:r>
        <w:rPr>
          <w:rFonts w:hint="eastAsia" w:ascii="仿宋" w:hAnsi="仿宋" w:eastAsia="仿宋"/>
          <w:sz w:val="32"/>
          <w:szCs w:val="32"/>
          <w:lang w:val="en-US" w:eastAsia="zh-CN"/>
        </w:rPr>
        <w:t>合法</w:t>
      </w:r>
      <w:r>
        <w:rPr>
          <w:rFonts w:hint="eastAsia" w:ascii="仿宋" w:hAnsi="仿宋" w:eastAsia="仿宋"/>
          <w:sz w:val="32"/>
          <w:szCs w:val="32"/>
          <w:lang w:eastAsia="zh-CN"/>
        </w:rPr>
        <w:t>。</w:t>
      </w:r>
      <w:r>
        <w:rPr>
          <w:rFonts w:hint="eastAsia" w:ascii="仿宋" w:hAnsi="仿宋" w:eastAsia="仿宋"/>
          <w:bCs/>
          <w:color w:val="000000" w:themeColor="text1"/>
          <w:sz w:val="32"/>
          <w:szCs w:val="32"/>
          <w14:textFill>
            <w14:solidFill>
              <w14:schemeClr w14:val="tx1"/>
            </w14:solidFill>
          </w14:textFill>
        </w:rPr>
        <w:t>本案中，被申请人</w:t>
      </w:r>
      <w:r>
        <w:rPr>
          <w:rFonts w:hint="eastAsia" w:ascii="仿宋" w:hAnsi="仿宋" w:eastAsia="仿宋"/>
          <w:bCs/>
          <w:color w:val="000000" w:themeColor="text1"/>
          <w:sz w:val="32"/>
          <w:szCs w:val="32"/>
          <w:lang w:eastAsia="zh-CN"/>
          <w14:textFill>
            <w14:solidFill>
              <w14:schemeClr w14:val="tx1"/>
            </w14:solidFill>
          </w14:textFill>
        </w:rPr>
        <w:t>于</w:t>
      </w:r>
      <w:r>
        <w:rPr>
          <w:rFonts w:hint="eastAsia" w:ascii="仿宋" w:hAnsi="仿宋" w:eastAsia="仿宋"/>
          <w:bCs/>
          <w:color w:val="000000" w:themeColor="text1"/>
          <w:sz w:val="32"/>
          <w:szCs w:val="32"/>
          <w:lang w:val="en-US" w:eastAsia="zh-CN"/>
          <w14:textFill>
            <w14:solidFill>
              <w14:schemeClr w14:val="tx1"/>
            </w14:solidFill>
          </w14:textFill>
        </w:rPr>
        <w:t>2024年3月17日立案，</w:t>
      </w:r>
      <w:r>
        <w:rPr>
          <w:rFonts w:hint="eastAsia" w:ascii="仿宋" w:hAnsi="仿宋" w:eastAsia="仿宋"/>
          <w:bCs/>
          <w:color w:val="000000" w:themeColor="text1"/>
          <w:sz w:val="32"/>
          <w:szCs w:val="32"/>
          <w:lang w:eastAsia="zh-CN"/>
          <w14:textFill>
            <w14:solidFill>
              <w14:schemeClr w14:val="tx1"/>
            </w14:solidFill>
          </w14:textFill>
        </w:rPr>
        <w:t>经过调查、询问、勘验、处罚告知等程序后，于</w:t>
      </w:r>
      <w:r>
        <w:rPr>
          <w:rFonts w:hint="eastAsia" w:ascii="仿宋" w:hAnsi="仿宋" w:eastAsia="仿宋"/>
          <w:bCs/>
          <w:color w:val="000000" w:themeColor="text1"/>
          <w:sz w:val="32"/>
          <w:szCs w:val="32"/>
          <w:lang w:val="en-US" w:eastAsia="zh-CN"/>
          <w14:textFill>
            <w14:solidFill>
              <w14:schemeClr w14:val="tx1"/>
            </w14:solidFill>
          </w14:textFill>
        </w:rPr>
        <w:t>2024年3月22日</w:t>
      </w:r>
      <w:r>
        <w:rPr>
          <w:rFonts w:hint="eastAsia" w:ascii="仿宋" w:hAnsi="仿宋" w:eastAsia="仿宋"/>
          <w:bCs/>
          <w:color w:val="000000" w:themeColor="text1"/>
          <w:sz w:val="32"/>
          <w:szCs w:val="32"/>
          <w:lang w:eastAsia="zh-CN"/>
          <w14:textFill>
            <w14:solidFill>
              <w14:schemeClr w14:val="tx1"/>
            </w14:solidFill>
          </w14:textFill>
        </w:rPr>
        <w:t>作出并送达</w:t>
      </w:r>
      <w:r>
        <w:rPr>
          <w:rFonts w:hint="eastAsia" w:ascii="仿宋" w:hAnsi="仿宋" w:eastAsia="仿宋"/>
          <w:sz w:val="32"/>
          <w:szCs w:val="32"/>
        </w:rPr>
        <w:t>易公（</w:t>
      </w:r>
      <w:r>
        <w:rPr>
          <w:rFonts w:hint="eastAsia" w:ascii="仿宋" w:hAnsi="仿宋" w:eastAsia="仿宋"/>
          <w:sz w:val="32"/>
          <w:szCs w:val="32"/>
          <w:lang w:val="en-US" w:eastAsia="zh-CN"/>
        </w:rPr>
        <w:t>凌</w:t>
      </w:r>
      <w:r>
        <w:rPr>
          <w:rFonts w:hint="eastAsia" w:ascii="仿宋" w:hAnsi="仿宋" w:eastAsia="仿宋"/>
          <w:sz w:val="32"/>
          <w:szCs w:val="32"/>
        </w:rPr>
        <w:t>）行罚决字〔202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0238</w:t>
      </w:r>
      <w:r>
        <w:rPr>
          <w:rFonts w:hint="eastAsia" w:ascii="仿宋" w:hAnsi="仿宋" w:eastAsia="仿宋"/>
          <w:sz w:val="32"/>
          <w:szCs w:val="32"/>
        </w:rPr>
        <w:t>号《行政处罚决定书》</w:t>
      </w:r>
      <w:r>
        <w:rPr>
          <w:rFonts w:hint="eastAsia" w:ascii="仿宋" w:hAnsi="仿宋" w:eastAsia="仿宋"/>
          <w:sz w:val="32"/>
          <w:szCs w:val="32"/>
          <w:lang w:eastAsia="zh-CN"/>
        </w:rPr>
        <w:t>，符合法定程序。</w:t>
      </w:r>
    </w:p>
    <w:p>
      <w:pPr>
        <w:keepNext w:val="0"/>
        <w:keepLines w:val="0"/>
        <w:pageBreakBefore w:val="0"/>
        <w:widowControl/>
        <w:kinsoku/>
        <w:wordWrap/>
        <w:overflowPunct/>
        <w:topLinePunct w:val="0"/>
        <w:autoSpaceDE/>
        <w:autoSpaceDN/>
        <w:bidi w:val="0"/>
        <w:adjustRightInd/>
        <w:snapToGrid/>
        <w:spacing w:after="0" w:line="560" w:lineRule="exact"/>
        <w:ind w:right="0" w:firstLine="640" w:firstLineChars="200"/>
        <w:jc w:val="both"/>
        <w:textAlignment w:val="auto"/>
        <w:rPr>
          <w:rFonts w:hint="eastAsia" w:ascii="仿宋" w:hAnsi="仿宋" w:eastAsia="仿宋"/>
          <w:sz w:val="32"/>
          <w:szCs w:val="32"/>
          <w:highlight w:val="none"/>
        </w:rPr>
      </w:pPr>
      <w:r>
        <w:rPr>
          <w:rFonts w:hint="eastAsia" w:ascii="仿宋" w:hAnsi="仿宋" w:eastAsia="仿宋"/>
          <w:b w:val="0"/>
          <w:bCs/>
          <w:sz w:val="32"/>
          <w:szCs w:val="32"/>
          <w:lang w:val="en-US" w:eastAsia="zh-CN"/>
        </w:rPr>
        <w:t>综上所述，</w:t>
      </w:r>
      <w:r>
        <w:rPr>
          <w:rFonts w:hint="eastAsia" w:ascii="仿宋" w:hAnsi="仿宋" w:eastAsia="仿宋"/>
          <w:sz w:val="32"/>
          <w:szCs w:val="32"/>
        </w:rPr>
        <w:t>被申请人</w:t>
      </w:r>
      <w:r>
        <w:rPr>
          <w:rFonts w:hint="eastAsia" w:ascii="仿宋" w:hAnsi="仿宋" w:eastAsia="仿宋"/>
          <w:sz w:val="32"/>
          <w:szCs w:val="32"/>
          <w:lang w:val="en-US" w:eastAsia="zh-CN"/>
        </w:rPr>
        <w:t>作出的</w:t>
      </w:r>
      <w:r>
        <w:rPr>
          <w:rFonts w:hint="eastAsia" w:ascii="仿宋" w:hAnsi="仿宋" w:eastAsia="仿宋"/>
          <w:sz w:val="32"/>
          <w:szCs w:val="32"/>
        </w:rPr>
        <w:t>易公（</w:t>
      </w:r>
      <w:r>
        <w:rPr>
          <w:rFonts w:hint="eastAsia" w:ascii="仿宋" w:hAnsi="仿宋" w:eastAsia="仿宋"/>
          <w:sz w:val="32"/>
          <w:szCs w:val="32"/>
          <w:lang w:val="en-US" w:eastAsia="zh-CN"/>
        </w:rPr>
        <w:t>凌</w:t>
      </w:r>
      <w:r>
        <w:rPr>
          <w:rFonts w:hint="eastAsia" w:ascii="仿宋" w:hAnsi="仿宋" w:eastAsia="仿宋"/>
          <w:sz w:val="32"/>
          <w:szCs w:val="32"/>
        </w:rPr>
        <w:t>）行罚决字〔202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0238</w:t>
      </w:r>
      <w:r>
        <w:rPr>
          <w:rFonts w:hint="eastAsia" w:ascii="仿宋" w:hAnsi="仿宋" w:eastAsia="仿宋"/>
          <w:sz w:val="32"/>
          <w:szCs w:val="32"/>
        </w:rPr>
        <w:t>号《行政处罚决定书》</w:t>
      </w:r>
      <w:r>
        <w:rPr>
          <w:rFonts w:hint="eastAsia" w:ascii="仿宋" w:hAnsi="仿宋" w:eastAsia="仿宋"/>
          <w:sz w:val="32"/>
          <w:szCs w:val="32"/>
          <w:lang w:val="en-US" w:eastAsia="zh-CN"/>
        </w:rPr>
        <w:t>认定事实清楚，证据确凿，适用依据正确，程序合法，内容适当。</w:t>
      </w:r>
      <w:r>
        <w:rPr>
          <w:rFonts w:hint="eastAsia" w:ascii="仿宋" w:hAnsi="仿宋" w:eastAsia="仿宋"/>
          <w:sz w:val="32"/>
          <w:szCs w:val="32"/>
          <w:highlight w:val="none"/>
        </w:rPr>
        <w:t>根据《中华人民共和国行政复议法》第</w:t>
      </w:r>
      <w:r>
        <w:rPr>
          <w:rFonts w:hint="eastAsia" w:ascii="仿宋" w:hAnsi="仿宋" w:eastAsia="仿宋"/>
          <w:sz w:val="32"/>
          <w:szCs w:val="32"/>
          <w:highlight w:val="none"/>
          <w:lang w:eastAsia="zh-CN"/>
        </w:rPr>
        <w:t>六十</w:t>
      </w:r>
      <w:r>
        <w:rPr>
          <w:rFonts w:hint="eastAsia" w:ascii="仿宋" w:hAnsi="仿宋" w:eastAsia="仿宋"/>
          <w:sz w:val="32"/>
          <w:szCs w:val="32"/>
          <w:highlight w:val="none"/>
          <w:lang w:val="en-US" w:eastAsia="zh-CN"/>
        </w:rPr>
        <w:t>八</w:t>
      </w:r>
      <w:r>
        <w:rPr>
          <w:rFonts w:hint="eastAsia" w:ascii="仿宋" w:hAnsi="仿宋" w:eastAsia="仿宋"/>
          <w:sz w:val="32"/>
          <w:szCs w:val="32"/>
          <w:highlight w:val="none"/>
          <w:lang w:eastAsia="zh-CN"/>
        </w:rPr>
        <w:t>条</w:t>
      </w:r>
      <w:r>
        <w:rPr>
          <w:rFonts w:hint="eastAsia" w:ascii="仿宋" w:hAnsi="仿宋" w:eastAsia="仿宋"/>
          <w:sz w:val="32"/>
          <w:szCs w:val="32"/>
          <w:highlight w:val="none"/>
        </w:rPr>
        <w:t>之规定，本机关决定如下：</w:t>
      </w:r>
    </w:p>
    <w:p>
      <w:pPr>
        <w:keepNext w:val="0"/>
        <w:keepLines w:val="0"/>
        <w:pageBreakBefore w:val="0"/>
        <w:widowControl/>
        <w:kinsoku/>
        <w:wordWrap/>
        <w:overflowPunct/>
        <w:topLinePunct w:val="0"/>
        <w:autoSpaceDE/>
        <w:autoSpaceDN/>
        <w:bidi w:val="0"/>
        <w:adjustRightInd w:val="0"/>
        <w:snapToGrid w:val="0"/>
        <w:spacing w:after="0" w:line="560" w:lineRule="exact"/>
        <w:ind w:right="0" w:firstLine="640" w:firstLineChars="200"/>
        <w:jc w:val="both"/>
        <w:textAlignment w:val="auto"/>
        <w:rPr>
          <w:rFonts w:hint="eastAsia" w:ascii="仿宋" w:hAnsi="仿宋" w:eastAsia="仿宋"/>
          <w:sz w:val="32"/>
          <w:szCs w:val="32"/>
          <w:lang w:eastAsia="zh-CN"/>
        </w:rPr>
      </w:pPr>
      <w:r>
        <w:rPr>
          <w:rFonts w:hint="eastAsia" w:ascii="仿宋" w:hAnsi="仿宋" w:eastAsia="仿宋"/>
          <w:sz w:val="32"/>
          <w:szCs w:val="32"/>
          <w:highlight w:val="none"/>
          <w:lang w:val="en-US" w:eastAsia="zh-CN"/>
        </w:rPr>
        <w:t>维持</w:t>
      </w:r>
      <w:r>
        <w:rPr>
          <w:rFonts w:hint="eastAsia" w:ascii="仿宋" w:hAnsi="仿宋" w:eastAsia="仿宋"/>
          <w:sz w:val="32"/>
          <w:szCs w:val="32"/>
          <w:highlight w:val="none"/>
        </w:rPr>
        <w:t>被申请人</w:t>
      </w:r>
      <w:r>
        <w:rPr>
          <w:rFonts w:hint="eastAsia" w:ascii="仿宋" w:hAnsi="仿宋" w:eastAsia="仿宋"/>
          <w:sz w:val="32"/>
          <w:szCs w:val="32"/>
          <w:highlight w:val="none"/>
          <w:lang w:eastAsia="zh-CN"/>
        </w:rPr>
        <w:t>易县公安局作出的</w:t>
      </w:r>
      <w:r>
        <w:rPr>
          <w:rFonts w:hint="eastAsia" w:ascii="仿宋" w:hAnsi="仿宋" w:eastAsia="仿宋"/>
          <w:sz w:val="32"/>
          <w:szCs w:val="32"/>
        </w:rPr>
        <w:t>易公（</w:t>
      </w:r>
      <w:r>
        <w:rPr>
          <w:rFonts w:hint="eastAsia" w:ascii="仿宋" w:hAnsi="仿宋" w:eastAsia="仿宋"/>
          <w:sz w:val="32"/>
          <w:szCs w:val="32"/>
          <w:lang w:val="en-US" w:eastAsia="zh-CN"/>
        </w:rPr>
        <w:t>凌</w:t>
      </w:r>
      <w:r>
        <w:rPr>
          <w:rFonts w:hint="eastAsia" w:ascii="仿宋" w:hAnsi="仿宋" w:eastAsia="仿宋"/>
          <w:sz w:val="32"/>
          <w:szCs w:val="32"/>
        </w:rPr>
        <w:t>）行罚决字〔202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0238</w:t>
      </w:r>
      <w:r>
        <w:rPr>
          <w:rFonts w:hint="eastAsia" w:ascii="仿宋" w:hAnsi="仿宋" w:eastAsia="仿宋"/>
          <w:sz w:val="32"/>
          <w:szCs w:val="32"/>
        </w:rPr>
        <w:t>号《行政处罚决定书》</w:t>
      </w:r>
      <w:r>
        <w:rPr>
          <w:rFonts w:hint="eastAsia" w:ascii="仿宋" w:hAnsi="仿宋" w:eastAsia="仿宋"/>
          <w:sz w:val="32"/>
          <w:szCs w:val="32"/>
          <w:lang w:eastAsia="zh-CN"/>
        </w:rPr>
        <w:t>。</w:t>
      </w:r>
    </w:p>
    <w:p>
      <w:pPr>
        <w:keepNext w:val="0"/>
        <w:keepLines w:val="0"/>
        <w:pageBreakBefore w:val="0"/>
        <w:widowControl/>
        <w:kinsoku/>
        <w:wordWrap/>
        <w:overflowPunct/>
        <w:topLinePunct w:val="0"/>
        <w:autoSpaceDE/>
        <w:autoSpaceDN/>
        <w:bidi w:val="0"/>
        <w:adjustRightInd w:val="0"/>
        <w:snapToGrid w:val="0"/>
        <w:spacing w:after="0" w:line="560" w:lineRule="exact"/>
        <w:ind w:right="0" w:firstLine="640" w:firstLineChars="200"/>
        <w:jc w:val="both"/>
        <w:textAlignment w:val="auto"/>
        <w:rPr>
          <w:rFonts w:ascii="仿宋" w:hAnsi="仿宋" w:eastAsia="仿宋"/>
          <w:sz w:val="32"/>
          <w:szCs w:val="32"/>
        </w:rPr>
      </w:pPr>
      <w:r>
        <w:rPr>
          <w:rFonts w:hint="eastAsia" w:ascii="仿宋" w:hAnsi="仿宋" w:eastAsia="仿宋"/>
          <w:sz w:val="32"/>
          <w:szCs w:val="32"/>
        </w:rPr>
        <w:t>对本决定不服，可以自接到本决定之日起十五日内，向</w:t>
      </w:r>
      <w:r>
        <w:rPr>
          <w:rFonts w:hint="eastAsia" w:ascii="仿宋" w:hAnsi="仿宋" w:eastAsia="仿宋"/>
          <w:sz w:val="32"/>
          <w:szCs w:val="32"/>
          <w:lang w:eastAsia="zh-CN"/>
        </w:rPr>
        <w:t>有管辖权的</w:t>
      </w:r>
      <w:r>
        <w:rPr>
          <w:rFonts w:hint="eastAsia" w:ascii="仿宋" w:hAnsi="仿宋" w:eastAsia="仿宋"/>
          <w:sz w:val="32"/>
          <w:szCs w:val="32"/>
        </w:rPr>
        <w:t>法院提起行政诉讼。</w:t>
      </w:r>
    </w:p>
    <w:p>
      <w:pPr>
        <w:keepNext w:val="0"/>
        <w:keepLines w:val="0"/>
        <w:pageBreakBefore w:val="0"/>
        <w:widowControl/>
        <w:kinsoku/>
        <w:wordWrap/>
        <w:overflowPunct/>
        <w:autoSpaceDE/>
        <w:autoSpaceDN/>
        <w:bidi w:val="0"/>
        <w:adjustRightInd w:val="0"/>
        <w:snapToGrid w:val="0"/>
        <w:spacing w:after="0" w:line="560" w:lineRule="exact"/>
        <w:ind w:right="0"/>
        <w:jc w:val="both"/>
        <w:textAlignment w:val="auto"/>
        <w:rPr>
          <w:rFonts w:hint="eastAsia" w:ascii="仿宋" w:hAnsi="仿宋" w:eastAsia="仿宋"/>
          <w:sz w:val="32"/>
          <w:szCs w:val="32"/>
          <w:lang w:val="en-US" w:eastAsia="zh-CN"/>
        </w:rPr>
      </w:pPr>
    </w:p>
    <w:p>
      <w:pPr>
        <w:keepNext w:val="0"/>
        <w:keepLines w:val="0"/>
        <w:pageBreakBefore w:val="0"/>
        <w:widowControl/>
        <w:kinsoku/>
        <w:wordWrap/>
        <w:overflowPunct/>
        <w:autoSpaceDE/>
        <w:autoSpaceDN/>
        <w:bidi w:val="0"/>
        <w:adjustRightInd w:val="0"/>
        <w:snapToGrid w:val="0"/>
        <w:spacing w:after="0" w:line="560" w:lineRule="exact"/>
        <w:ind w:right="0"/>
        <w:jc w:val="both"/>
        <w:textAlignment w:val="auto"/>
        <w:rPr>
          <w:rFonts w:hint="eastAsia" w:ascii="仿宋" w:hAnsi="仿宋" w:eastAsia="仿宋"/>
          <w:sz w:val="32"/>
          <w:szCs w:val="32"/>
          <w:lang w:val="en-US" w:eastAsia="zh-CN"/>
        </w:rPr>
      </w:pPr>
    </w:p>
    <w:p>
      <w:pPr>
        <w:keepNext w:val="0"/>
        <w:keepLines w:val="0"/>
        <w:pageBreakBefore w:val="0"/>
        <w:widowControl/>
        <w:kinsoku/>
        <w:wordWrap/>
        <w:overflowPunct/>
        <w:autoSpaceDE/>
        <w:autoSpaceDN/>
        <w:bidi w:val="0"/>
        <w:adjustRightInd w:val="0"/>
        <w:snapToGrid w:val="0"/>
        <w:spacing w:after="0" w:line="560" w:lineRule="exact"/>
        <w:ind w:right="0"/>
        <w:jc w:val="both"/>
        <w:textAlignment w:val="auto"/>
        <w:rPr>
          <w:rFonts w:hint="eastAsia" w:ascii="仿宋" w:hAnsi="仿宋" w:eastAsia="仿宋"/>
          <w:sz w:val="32"/>
          <w:szCs w:val="32"/>
          <w:lang w:val="en-US" w:eastAsia="zh-CN"/>
        </w:rPr>
      </w:pPr>
    </w:p>
    <w:p>
      <w:pPr>
        <w:keepNext w:val="0"/>
        <w:keepLines w:val="0"/>
        <w:pageBreakBefore w:val="0"/>
        <w:widowControl/>
        <w:kinsoku/>
        <w:wordWrap/>
        <w:overflowPunct/>
        <w:autoSpaceDE/>
        <w:autoSpaceDN/>
        <w:bidi w:val="0"/>
        <w:adjustRightInd w:val="0"/>
        <w:snapToGrid w:val="0"/>
        <w:spacing w:after="0" w:line="560" w:lineRule="exact"/>
        <w:ind w:right="0"/>
        <w:jc w:val="right"/>
        <w:textAlignment w:val="auto"/>
      </w:pPr>
      <w:r>
        <w:rPr>
          <w:rFonts w:hint="eastAsia" w:ascii="仿宋" w:hAnsi="仿宋" w:eastAsia="仿宋"/>
          <w:sz w:val="32"/>
          <w:szCs w:val="32"/>
          <w:lang w:val="en-US" w:eastAsia="zh-CN"/>
        </w:rPr>
        <w:t>2024</w:t>
      </w:r>
      <w:r>
        <w:rPr>
          <w:rFonts w:hint="eastAsia" w:ascii="仿宋" w:hAnsi="仿宋" w:eastAsia="仿宋"/>
          <w:sz w:val="32"/>
          <w:szCs w:val="32"/>
        </w:rPr>
        <w:t>年</w:t>
      </w:r>
      <w:r>
        <w:rPr>
          <w:rFonts w:hint="eastAsia" w:ascii="仿宋" w:hAnsi="仿宋" w:eastAsia="仿宋"/>
          <w:sz w:val="32"/>
          <w:szCs w:val="32"/>
          <w:lang w:val="en-US" w:eastAsia="zh-CN"/>
        </w:rPr>
        <w:t>6</w:t>
      </w:r>
      <w:r>
        <w:rPr>
          <w:rFonts w:hint="eastAsia" w:ascii="仿宋" w:hAnsi="仿宋" w:eastAsia="仿宋"/>
          <w:sz w:val="32"/>
          <w:szCs w:val="32"/>
        </w:rPr>
        <w:t>月</w:t>
      </w:r>
      <w:r>
        <w:rPr>
          <w:rFonts w:hint="eastAsia" w:ascii="仿宋" w:hAnsi="仿宋" w:eastAsia="仿宋"/>
          <w:sz w:val="32"/>
          <w:szCs w:val="32"/>
          <w:lang w:val="en-US" w:eastAsia="zh-CN"/>
        </w:rPr>
        <w:t>19日</w:t>
      </w:r>
    </w:p>
    <w:sectPr>
      <w:headerReference r:id="rId6" w:type="first"/>
      <w:footerReference r:id="rId9" w:type="first"/>
      <w:headerReference r:id="rId4" w:type="default"/>
      <w:footerReference r:id="rId7" w:type="default"/>
      <w:headerReference r:id="rId5" w:type="even"/>
      <w:footerReference r:id="rId8" w:type="even"/>
      <w:pgSz w:w="11906" w:h="16838"/>
      <w:pgMar w:top="1701" w:right="1418" w:bottom="1418" w:left="1588" w:header="708" w:footer="708" w:gutter="0"/>
      <w:cols w:space="720"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Tahoma">
    <w:altName w:val="DejaVu Sans"/>
    <w:panose1 w:val="020B0604030504040204"/>
    <w:charset w:val="00"/>
    <w:family w:val="swiss"/>
    <w:pitch w:val="default"/>
    <w:sig w:usb0="00000000" w:usb1="00000000" w:usb2="00000029" w:usb3="00000000" w:csb0="200101FF" w:csb1="20280000"/>
  </w:font>
  <w:font w:name="微软雅黑">
    <w:altName w:val="方正黑体_GBK"/>
    <w:panose1 w:val="020B0503020204020204"/>
    <w:charset w:val="86"/>
    <w:family w:val="swiss"/>
    <w:pitch w:val="default"/>
    <w:sig w:usb0="00000000" w:usb1="00000000" w:usb2="00000016" w:usb3="00000000" w:csb0="0004001F"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宋体S-超大字符集(SIP)">
    <w:panose1 w:val="03000509000000000000"/>
    <w:charset w:val="86"/>
    <w:family w:val="auto"/>
    <w:pitch w:val="default"/>
    <w:sig w:usb0="00000003" w:usb1="0A0E08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separate"/>
    </w:r>
    <w:r>
      <w:rPr>
        <w:rStyle w:val="7"/>
      </w:rPr>
      <w:t>3</w:t>
    </w:r>
    <w:r>
      <w:rPr>
        <w:rStyle w:val="7"/>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NjMDhlMDQzNmIxZGJkMzE3YTg4ZGY1ZTlhNTcwOGQifQ=="/>
  </w:docVars>
  <w:rsids>
    <w:rsidRoot w:val="14CF2376"/>
    <w:rsid w:val="017649C4"/>
    <w:rsid w:val="027E316C"/>
    <w:rsid w:val="04506169"/>
    <w:rsid w:val="06514585"/>
    <w:rsid w:val="07BA14F9"/>
    <w:rsid w:val="07EA0DC6"/>
    <w:rsid w:val="098838EC"/>
    <w:rsid w:val="0BC17B8D"/>
    <w:rsid w:val="0BEF4CB8"/>
    <w:rsid w:val="0C837967"/>
    <w:rsid w:val="0C892B5C"/>
    <w:rsid w:val="104B38ED"/>
    <w:rsid w:val="11535EE5"/>
    <w:rsid w:val="14CF2376"/>
    <w:rsid w:val="150348CB"/>
    <w:rsid w:val="15153CD0"/>
    <w:rsid w:val="17AC74DF"/>
    <w:rsid w:val="1D004075"/>
    <w:rsid w:val="1ED439AB"/>
    <w:rsid w:val="1F2A2C2A"/>
    <w:rsid w:val="1FE17A6A"/>
    <w:rsid w:val="206155F1"/>
    <w:rsid w:val="214C24FC"/>
    <w:rsid w:val="22475637"/>
    <w:rsid w:val="243D4EF0"/>
    <w:rsid w:val="292E5CAC"/>
    <w:rsid w:val="2C8D4423"/>
    <w:rsid w:val="2CBF5B79"/>
    <w:rsid w:val="2DAF0271"/>
    <w:rsid w:val="39453783"/>
    <w:rsid w:val="39492983"/>
    <w:rsid w:val="3BFB2C3B"/>
    <w:rsid w:val="3C1C3E4B"/>
    <w:rsid w:val="45021904"/>
    <w:rsid w:val="45C04BFC"/>
    <w:rsid w:val="46E43640"/>
    <w:rsid w:val="48F610E7"/>
    <w:rsid w:val="4AC7329E"/>
    <w:rsid w:val="4AFD134A"/>
    <w:rsid w:val="4B9A0F57"/>
    <w:rsid w:val="4BDA2CB4"/>
    <w:rsid w:val="50BF1AD8"/>
    <w:rsid w:val="56E63EE0"/>
    <w:rsid w:val="5A2E6F09"/>
    <w:rsid w:val="5CD5651C"/>
    <w:rsid w:val="600F2399"/>
    <w:rsid w:val="60607D99"/>
    <w:rsid w:val="61CD419F"/>
    <w:rsid w:val="62173F7C"/>
    <w:rsid w:val="644E1B4C"/>
    <w:rsid w:val="647C1FC7"/>
    <w:rsid w:val="6A120F08"/>
    <w:rsid w:val="6A4D51D2"/>
    <w:rsid w:val="6AF700F6"/>
    <w:rsid w:val="6B480890"/>
    <w:rsid w:val="6CDF6710"/>
    <w:rsid w:val="6FBF5F2D"/>
    <w:rsid w:val="70AB7C53"/>
    <w:rsid w:val="71542203"/>
    <w:rsid w:val="717A2E83"/>
    <w:rsid w:val="74BB4445"/>
    <w:rsid w:val="769829E9"/>
    <w:rsid w:val="787D745E"/>
    <w:rsid w:val="79D87FB3"/>
    <w:rsid w:val="79FB058D"/>
    <w:rsid w:val="7B06324F"/>
    <w:rsid w:val="7B10210F"/>
    <w:rsid w:val="7BBD5F0F"/>
    <w:rsid w:val="7BF7DA84"/>
    <w:rsid w:val="7C925D57"/>
    <w:rsid w:val="AEFBAE76"/>
    <w:rsid w:val="EDFFA2F2"/>
    <w:rsid w:val="EEDF3E78"/>
    <w:rsid w:val="F3BAF213"/>
    <w:rsid w:val="F6F58515"/>
    <w:rsid w:val="F7E9AA6E"/>
    <w:rsid w:val="FBFEC021"/>
    <w:rsid w:val="FEE730E1"/>
    <w:rsid w:val="FFFFC5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imes New Roman"/>
      <w:sz w:val="22"/>
      <w:szCs w:val="2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pPr>
    <w:rPr>
      <w:sz w:val="18"/>
      <w:szCs w:val="18"/>
    </w:rPr>
  </w:style>
  <w:style w:type="paragraph" w:styleId="4">
    <w:name w:val="header"/>
    <w:basedOn w:val="1"/>
    <w:semiHidden/>
    <w:qFormat/>
    <w:uiPriority w:val="99"/>
    <w:pPr>
      <w:pBdr>
        <w:bottom w:val="single" w:color="auto" w:sz="6" w:space="1"/>
      </w:pBdr>
      <w:tabs>
        <w:tab w:val="center" w:pos="4153"/>
        <w:tab w:val="right" w:pos="8306"/>
      </w:tabs>
      <w:jc w:val="center"/>
    </w:pPr>
    <w:rPr>
      <w:sz w:val="18"/>
      <w:szCs w:val="18"/>
    </w:rPr>
  </w:style>
  <w:style w:type="character" w:styleId="7">
    <w:name w:val="page number"/>
    <w:basedOn w:val="6"/>
    <w:qFormat/>
    <w:uiPriority w:val="99"/>
    <w:rPr>
      <w:rFonts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1329</Words>
  <Characters>1400</Characters>
  <Lines>0</Lines>
  <Paragraphs>0</Paragraphs>
  <TotalTime>22</TotalTime>
  <ScaleCrop>false</ScaleCrop>
  <LinksUpToDate>false</LinksUpToDate>
  <CharactersWithSpaces>1406</CharactersWithSpaces>
  <Application>WPS Office_11.8.2.10953_F1E327BC-269C-435d-A152-05C5408002CA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2022-09-10T18:55:00Z</dcterms:created>
  <dc:creator>Administrator</dc:creator>
  <cp:lastModifiedBy>yxsfj</cp:lastModifiedBy>
  <cp:lastPrinted>2024-06-19T17:31:00Z</cp:lastPrinted>
  <dcterms:modified xsi:type="dcterms:W3CDTF">2025-04-03T09:46:17Z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2052-11.8.2.10953</vt:lpwstr>
  </property>
  <property fmtid="{D5CDD505-2E9C-101B-9397-08002B2CF9AE}" pid="3" name="ICV">
    <vt:lpwstr>D8AE049A2BB04D1F936DA279B428DC00</vt:lpwstr>
  </property>
</Properties>
</file>